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F0C8C" w14:textId="77777777" w:rsidR="00564AA2" w:rsidRPr="000277E3" w:rsidRDefault="00167670" w:rsidP="00DA7182">
      <w:pPr>
        <w:ind w:left="1134"/>
        <w:rPr>
          <w:rFonts w:ascii="Arial" w:hAnsi="Arial" w:cs="Arial"/>
          <w:sz w:val="18"/>
          <w:szCs w:val="18"/>
        </w:rPr>
      </w:pPr>
      <w:r w:rsidRPr="000277E3">
        <w:rPr>
          <w:rFonts w:ascii="Arial" w:hAnsi="Arial" w:cs="Arial"/>
          <w:noProof/>
          <w:sz w:val="18"/>
          <w:szCs w:val="18"/>
          <w:lang w:eastAsia="it-IT" w:bidi="ar-SA"/>
        </w:rPr>
        <w:drawing>
          <wp:anchor distT="0" distB="0" distL="114300" distR="114300" simplePos="0" relativeHeight="251656704" behindDoc="0" locked="0" layoutInCell="1" allowOverlap="1" wp14:anchorId="0FAF75A6" wp14:editId="59412A0F">
            <wp:simplePos x="0" y="0"/>
            <wp:positionH relativeFrom="column">
              <wp:posOffset>704215</wp:posOffset>
            </wp:positionH>
            <wp:positionV relativeFrom="page">
              <wp:posOffset>326390</wp:posOffset>
            </wp:positionV>
            <wp:extent cx="2332990" cy="975360"/>
            <wp:effectExtent l="0" t="0" r="0" b="0"/>
            <wp:wrapNone/>
            <wp:docPr id="3" name="Imag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32990" cy="975360"/>
                    </a:xfrm>
                    <a:prstGeom prst="rect">
                      <a:avLst/>
                    </a:prstGeom>
                    <a:noFill/>
                  </pic:spPr>
                </pic:pic>
              </a:graphicData>
            </a:graphic>
          </wp:anchor>
        </w:drawing>
      </w:r>
    </w:p>
    <w:p w14:paraId="06D12A2F" w14:textId="77777777" w:rsidR="00564AA2" w:rsidRPr="000277E3" w:rsidRDefault="00564AA2" w:rsidP="00DA7182">
      <w:pPr>
        <w:ind w:left="1134"/>
        <w:rPr>
          <w:rFonts w:ascii="Arial" w:hAnsi="Arial" w:cs="Arial"/>
          <w:sz w:val="18"/>
          <w:szCs w:val="18"/>
          <w:lang w:val="fr-FR"/>
        </w:rPr>
      </w:pPr>
    </w:p>
    <w:p w14:paraId="214BFFF4" w14:textId="77777777" w:rsidR="00F40859" w:rsidRPr="000277E3" w:rsidRDefault="00F40859" w:rsidP="00DA7182">
      <w:pPr>
        <w:ind w:left="1134"/>
        <w:rPr>
          <w:rFonts w:ascii="Arial" w:hAnsi="Arial" w:cs="Arial"/>
          <w:b/>
          <w:sz w:val="18"/>
          <w:szCs w:val="18"/>
          <w:lang w:val="fr-FR"/>
        </w:rPr>
      </w:pPr>
    </w:p>
    <w:p w14:paraId="7BA6F3ED" w14:textId="77777777" w:rsidR="005A2276" w:rsidRPr="000277E3" w:rsidRDefault="005A2276" w:rsidP="00DA7182">
      <w:pPr>
        <w:adjustRightInd w:val="0"/>
        <w:snapToGrid w:val="0"/>
        <w:spacing w:line="360" w:lineRule="auto"/>
        <w:ind w:left="1134"/>
        <w:rPr>
          <w:rFonts w:ascii="Arial" w:hAnsi="Arial" w:cs="Arial"/>
          <w:b/>
          <w:bCs/>
          <w:sz w:val="18"/>
          <w:szCs w:val="18"/>
          <w:lang w:val="fr-FR"/>
        </w:rPr>
      </w:pPr>
    </w:p>
    <w:p w14:paraId="4EE8C574" w14:textId="68ED85AF" w:rsidR="00C8321E" w:rsidRPr="000277E3" w:rsidRDefault="00A97A8F" w:rsidP="00DA7182">
      <w:pPr>
        <w:ind w:left="1134"/>
        <w:rPr>
          <w:rFonts w:ascii="Arial" w:hAnsi="Arial" w:cs="Arial"/>
          <w:b/>
          <w:bCs/>
        </w:rPr>
      </w:pPr>
      <w:r w:rsidRPr="000277E3">
        <w:rPr>
          <w:rFonts w:ascii="Arial" w:hAnsi="Arial" w:cs="Arial"/>
          <w:noProof/>
          <w:sz w:val="18"/>
          <w:szCs w:val="18"/>
          <w:lang w:eastAsia="it-IT" w:bidi="ar-SA"/>
        </w:rPr>
        <w:drawing>
          <wp:anchor distT="0" distB="0" distL="114300" distR="114300" simplePos="0" relativeHeight="251660288" behindDoc="1" locked="0" layoutInCell="1" allowOverlap="1" wp14:anchorId="33F7699A" wp14:editId="359AFEDB">
            <wp:simplePos x="0" y="0"/>
            <wp:positionH relativeFrom="column">
              <wp:posOffset>-510181</wp:posOffset>
            </wp:positionH>
            <wp:positionV relativeFrom="paragraph">
              <wp:posOffset>-168993</wp:posOffset>
            </wp:positionV>
            <wp:extent cx="1026160" cy="8376920"/>
            <wp:effectExtent l="0" t="0" r="2540"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26160" cy="8376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bCs/>
        </w:rPr>
        <w:t>Risultati del primo semestre</w:t>
      </w:r>
      <w:r w:rsidR="00781B82">
        <w:rPr>
          <w:rFonts w:ascii="Arial" w:hAnsi="Arial"/>
          <w:b/>
          <w:bCs/>
        </w:rPr>
        <w:t xml:space="preserve"> del</w:t>
      </w:r>
      <w:r>
        <w:rPr>
          <w:rFonts w:ascii="Arial" w:hAnsi="Arial"/>
          <w:b/>
          <w:bCs/>
        </w:rPr>
        <w:t xml:space="preserve"> 2019</w:t>
      </w:r>
    </w:p>
    <w:p w14:paraId="52EBE4CE" w14:textId="77777777" w:rsidR="009C2581" w:rsidRPr="00A06262" w:rsidRDefault="009C2581" w:rsidP="00DA7182">
      <w:pPr>
        <w:ind w:left="1134"/>
        <w:jc w:val="both"/>
        <w:rPr>
          <w:rFonts w:ascii="Arial" w:hAnsi="Arial" w:cs="Arial"/>
          <w:b/>
          <w:sz w:val="18"/>
          <w:szCs w:val="18"/>
        </w:rPr>
      </w:pPr>
    </w:p>
    <w:p w14:paraId="3EB5A1BB" w14:textId="77777777" w:rsidR="005A2276" w:rsidRPr="00A06262" w:rsidRDefault="005A2276" w:rsidP="00DA7182">
      <w:pPr>
        <w:ind w:left="1134"/>
        <w:jc w:val="both"/>
        <w:rPr>
          <w:rFonts w:ascii="Arial" w:hAnsi="Arial" w:cs="Arial"/>
          <w:b/>
          <w:sz w:val="18"/>
          <w:szCs w:val="18"/>
        </w:rPr>
      </w:pPr>
    </w:p>
    <w:p w14:paraId="590A562D" w14:textId="77777777" w:rsidR="00A33C9C" w:rsidRPr="000277E3" w:rsidRDefault="00A33C9C" w:rsidP="00A33C9C">
      <w:pPr>
        <w:numPr>
          <w:ilvl w:val="2"/>
          <w:numId w:val="3"/>
        </w:numPr>
        <w:tabs>
          <w:tab w:val="clear" w:pos="2160"/>
        </w:tabs>
        <w:adjustRightInd w:val="0"/>
        <w:snapToGrid w:val="0"/>
        <w:spacing w:after="180" w:line="276" w:lineRule="auto"/>
        <w:ind w:left="1418" w:hanging="284"/>
        <w:jc w:val="both"/>
        <w:rPr>
          <w:rFonts w:ascii="Arial" w:hAnsi="Arial" w:cs="Arial"/>
          <w:b/>
          <w:bCs/>
          <w:sz w:val="20"/>
        </w:rPr>
      </w:pPr>
      <w:r>
        <w:rPr>
          <w:rFonts w:ascii="Arial" w:hAnsi="Arial"/>
          <w:b/>
          <w:bCs/>
          <w:sz w:val="20"/>
        </w:rPr>
        <w:t>Fatturato rideterminato in aumento del +12,1 % a 1.842,3 milioni di euro</w:t>
      </w:r>
    </w:p>
    <w:p w14:paraId="7C98F4FB" w14:textId="77777777" w:rsidR="00A33C9C" w:rsidRPr="000277E3" w:rsidRDefault="00A33C9C" w:rsidP="00A33C9C">
      <w:pPr>
        <w:numPr>
          <w:ilvl w:val="2"/>
          <w:numId w:val="3"/>
        </w:numPr>
        <w:tabs>
          <w:tab w:val="clear" w:pos="2160"/>
        </w:tabs>
        <w:adjustRightInd w:val="0"/>
        <w:snapToGrid w:val="0"/>
        <w:spacing w:after="180" w:line="276" w:lineRule="auto"/>
        <w:ind w:left="1418" w:hanging="284"/>
        <w:jc w:val="both"/>
        <w:rPr>
          <w:rFonts w:ascii="Arial" w:hAnsi="Arial" w:cs="Arial"/>
          <w:b/>
          <w:bCs/>
          <w:sz w:val="20"/>
        </w:rPr>
      </w:pPr>
      <w:r>
        <w:rPr>
          <w:rFonts w:ascii="Arial" w:hAnsi="Arial"/>
          <w:b/>
          <w:bCs/>
          <w:sz w:val="20"/>
        </w:rPr>
        <w:t>Crescita del fatturato organico rideterminato in aumento del +5,2% con un secondo trimestre in aumento del +5,1%</w:t>
      </w:r>
    </w:p>
    <w:p w14:paraId="12FB2BF6" w14:textId="77777777" w:rsidR="00A33C9C" w:rsidRPr="00CE015D" w:rsidRDefault="00A33C9C" w:rsidP="00A33C9C">
      <w:pPr>
        <w:numPr>
          <w:ilvl w:val="2"/>
          <w:numId w:val="3"/>
        </w:numPr>
        <w:tabs>
          <w:tab w:val="clear" w:pos="2160"/>
        </w:tabs>
        <w:adjustRightInd w:val="0"/>
        <w:snapToGrid w:val="0"/>
        <w:spacing w:after="180" w:line="276" w:lineRule="auto"/>
        <w:ind w:left="1418" w:hanging="284"/>
        <w:jc w:val="both"/>
        <w:rPr>
          <w:rFonts w:ascii="Arial" w:hAnsi="Arial" w:cs="Arial"/>
          <w:b/>
          <w:bCs/>
          <w:sz w:val="20"/>
        </w:rPr>
      </w:pPr>
      <w:r>
        <w:rPr>
          <w:rFonts w:ascii="Arial" w:hAnsi="Arial"/>
          <w:b/>
          <w:bCs/>
          <w:sz w:val="20"/>
        </w:rPr>
        <w:t>Margine operativo rideterminato di 306,4 milioni di euro, in aumento del +29,4 %</w:t>
      </w:r>
    </w:p>
    <w:p w14:paraId="48D229B3" w14:textId="38409820" w:rsidR="00A33C9C" w:rsidRPr="00CE015D" w:rsidRDefault="00A33C9C" w:rsidP="00A33C9C">
      <w:pPr>
        <w:numPr>
          <w:ilvl w:val="2"/>
          <w:numId w:val="3"/>
        </w:numPr>
        <w:tabs>
          <w:tab w:val="clear" w:pos="2160"/>
        </w:tabs>
        <w:adjustRightInd w:val="0"/>
        <w:snapToGrid w:val="0"/>
        <w:spacing w:after="180" w:line="276" w:lineRule="auto"/>
        <w:ind w:left="1418" w:hanging="284"/>
        <w:jc w:val="both"/>
        <w:rPr>
          <w:rFonts w:ascii="Arial" w:hAnsi="Arial" w:cs="Arial"/>
          <w:b/>
          <w:bCs/>
          <w:sz w:val="20"/>
        </w:rPr>
      </w:pPr>
      <w:r>
        <w:rPr>
          <w:rFonts w:ascii="Arial" w:hAnsi="Arial"/>
          <w:b/>
          <w:bCs/>
          <w:sz w:val="20"/>
        </w:rPr>
        <w:t>Risultato di gestione rideterminato, al lordo degli oneri derivanti dalla riduzione di valore</w:t>
      </w:r>
      <w:r w:rsidR="00F12580">
        <w:rPr>
          <w:rFonts w:ascii="Arial" w:hAnsi="Arial"/>
          <w:b/>
          <w:bCs/>
          <w:sz w:val="20"/>
        </w:rPr>
        <w:t>,</w:t>
      </w:r>
      <w:r>
        <w:rPr>
          <w:rFonts w:ascii="Arial" w:hAnsi="Arial"/>
          <w:b/>
          <w:bCs/>
          <w:sz w:val="20"/>
        </w:rPr>
        <w:t xml:space="preserve"> di 136,1 milioni di euro, in aumento del +58,6%</w:t>
      </w:r>
    </w:p>
    <w:p w14:paraId="41968DBF" w14:textId="66C94945" w:rsidR="00A33C9C" w:rsidRPr="00CE015D" w:rsidRDefault="00A33C9C" w:rsidP="00A33C9C">
      <w:pPr>
        <w:numPr>
          <w:ilvl w:val="2"/>
          <w:numId w:val="3"/>
        </w:numPr>
        <w:tabs>
          <w:tab w:val="clear" w:pos="2160"/>
        </w:tabs>
        <w:adjustRightInd w:val="0"/>
        <w:snapToGrid w:val="0"/>
        <w:spacing w:after="180" w:line="276" w:lineRule="auto"/>
        <w:ind w:left="1418" w:hanging="284"/>
        <w:jc w:val="both"/>
        <w:rPr>
          <w:rFonts w:ascii="Arial" w:hAnsi="Arial" w:cs="Arial"/>
          <w:b/>
          <w:bCs/>
          <w:sz w:val="20"/>
        </w:rPr>
      </w:pPr>
      <w:r>
        <w:rPr>
          <w:rFonts w:ascii="Arial" w:hAnsi="Arial"/>
          <w:b/>
          <w:bCs/>
          <w:sz w:val="20"/>
        </w:rPr>
        <w:t>Risultato netto di pertinenza del Gruppo di 96,0 milioni di euro</w:t>
      </w:r>
      <w:r w:rsidR="007E7113">
        <w:rPr>
          <w:rFonts w:ascii="Arial" w:hAnsi="Arial"/>
          <w:b/>
          <w:bCs/>
          <w:sz w:val="20"/>
        </w:rPr>
        <w:t>,</w:t>
      </w:r>
      <w:r>
        <w:rPr>
          <w:rFonts w:ascii="Arial" w:hAnsi="Arial"/>
          <w:b/>
          <w:bCs/>
          <w:sz w:val="20"/>
        </w:rPr>
        <w:t xml:space="preserve"> in aumento del +86,8%</w:t>
      </w:r>
    </w:p>
    <w:p w14:paraId="47C8AA6F" w14:textId="7FAE6372" w:rsidR="00A33C9C" w:rsidRPr="007E7113" w:rsidRDefault="00A33C9C" w:rsidP="007E7113">
      <w:pPr>
        <w:numPr>
          <w:ilvl w:val="2"/>
          <w:numId w:val="3"/>
        </w:numPr>
        <w:tabs>
          <w:tab w:val="clear" w:pos="2160"/>
        </w:tabs>
        <w:adjustRightInd w:val="0"/>
        <w:snapToGrid w:val="0"/>
        <w:spacing w:after="180" w:line="276" w:lineRule="auto"/>
        <w:ind w:left="1418" w:hanging="284"/>
        <w:jc w:val="both"/>
        <w:rPr>
          <w:rFonts w:ascii="Arial" w:hAnsi="Arial" w:cs="Arial"/>
          <w:b/>
          <w:bCs/>
          <w:sz w:val="20"/>
        </w:rPr>
      </w:pPr>
      <w:r w:rsidRPr="007E7113">
        <w:rPr>
          <w:rFonts w:ascii="Arial" w:hAnsi="Arial"/>
          <w:b/>
          <w:bCs/>
          <w:sz w:val="20"/>
        </w:rPr>
        <w:t>Cash flow disponibile rideterminato di -7,8 milioni di euro, in diminuzione del</w:t>
      </w:r>
      <w:r w:rsidR="007E7113">
        <w:rPr>
          <w:rFonts w:ascii="Arial" w:hAnsi="Arial"/>
          <w:b/>
          <w:bCs/>
          <w:sz w:val="20"/>
        </w:rPr>
        <w:t xml:space="preserve"> </w:t>
      </w:r>
      <w:r w:rsidR="007E7113">
        <w:rPr>
          <w:rFonts w:ascii="Arial" w:hAnsi="Arial"/>
          <w:b/>
          <w:bCs/>
          <w:sz w:val="20"/>
        </w:rPr>
        <w:br/>
        <w:t>-1</w:t>
      </w:r>
      <w:r w:rsidRPr="007E7113">
        <w:rPr>
          <w:rFonts w:ascii="Arial" w:hAnsi="Arial"/>
          <w:b/>
          <w:bCs/>
          <w:sz w:val="20"/>
        </w:rPr>
        <w:t>20,3%</w:t>
      </w:r>
    </w:p>
    <w:p w14:paraId="783F3A30" w14:textId="26F90CE5" w:rsidR="00C23D95" w:rsidRPr="000277E3" w:rsidRDefault="00D838EE" w:rsidP="00A33C9C">
      <w:pPr>
        <w:numPr>
          <w:ilvl w:val="2"/>
          <w:numId w:val="3"/>
        </w:numPr>
        <w:tabs>
          <w:tab w:val="clear" w:pos="2160"/>
        </w:tabs>
        <w:adjustRightInd w:val="0"/>
        <w:snapToGrid w:val="0"/>
        <w:spacing w:after="180" w:line="276" w:lineRule="auto"/>
        <w:ind w:left="1418" w:hanging="284"/>
        <w:jc w:val="both"/>
        <w:rPr>
          <w:rFonts w:ascii="Arial" w:hAnsi="Arial" w:cs="Arial"/>
          <w:b/>
          <w:bCs/>
          <w:sz w:val="20"/>
        </w:rPr>
      </w:pPr>
      <w:r>
        <w:rPr>
          <w:rFonts w:ascii="Arial" w:hAnsi="Arial"/>
          <w:b/>
          <w:bCs/>
          <w:sz w:val="20"/>
        </w:rPr>
        <w:t>F</w:t>
      </w:r>
      <w:r w:rsidR="00A33C9C">
        <w:rPr>
          <w:rFonts w:ascii="Arial" w:hAnsi="Arial"/>
          <w:b/>
          <w:bCs/>
          <w:sz w:val="20"/>
        </w:rPr>
        <w:t xml:space="preserve">atturato organico rideterminato </w:t>
      </w:r>
      <w:r>
        <w:rPr>
          <w:rFonts w:ascii="Arial" w:hAnsi="Arial"/>
          <w:b/>
          <w:bCs/>
          <w:sz w:val="20"/>
        </w:rPr>
        <w:t>previsto stabile</w:t>
      </w:r>
      <w:r w:rsidR="00F12580">
        <w:rPr>
          <w:rFonts w:ascii="Arial" w:hAnsi="Arial"/>
          <w:b/>
          <w:bCs/>
          <w:sz w:val="20"/>
        </w:rPr>
        <w:t xml:space="preserve"> </w:t>
      </w:r>
      <w:r w:rsidR="00A33C9C">
        <w:rPr>
          <w:rFonts w:ascii="Arial" w:hAnsi="Arial"/>
          <w:b/>
          <w:bCs/>
          <w:sz w:val="20"/>
        </w:rPr>
        <w:t xml:space="preserve">nel terzo trimestre </w:t>
      </w:r>
      <w:r w:rsidR="00695985">
        <w:rPr>
          <w:rFonts w:ascii="Arial" w:hAnsi="Arial"/>
          <w:b/>
          <w:bCs/>
          <w:sz w:val="20"/>
        </w:rPr>
        <w:t xml:space="preserve">del </w:t>
      </w:r>
      <w:r w:rsidR="00A33C9C">
        <w:rPr>
          <w:rFonts w:ascii="Arial" w:hAnsi="Arial"/>
          <w:b/>
          <w:bCs/>
          <w:sz w:val="20"/>
        </w:rPr>
        <w:t>2019</w:t>
      </w:r>
      <w:r>
        <w:rPr>
          <w:rFonts w:ascii="Arial" w:hAnsi="Arial"/>
          <w:b/>
          <w:bCs/>
          <w:sz w:val="20"/>
        </w:rPr>
        <w:t xml:space="preserve"> rispetto al terzo trimestre </w:t>
      </w:r>
      <w:r w:rsidR="006639E2">
        <w:rPr>
          <w:rFonts w:ascii="Arial" w:hAnsi="Arial"/>
          <w:b/>
          <w:bCs/>
          <w:sz w:val="20"/>
        </w:rPr>
        <w:t xml:space="preserve">del </w:t>
      </w:r>
      <w:r>
        <w:rPr>
          <w:rFonts w:ascii="Arial" w:hAnsi="Arial"/>
          <w:b/>
          <w:bCs/>
          <w:sz w:val="20"/>
        </w:rPr>
        <w:t>2018</w:t>
      </w:r>
    </w:p>
    <w:p w14:paraId="2CA849C9" w14:textId="77777777" w:rsidR="00DD5409" w:rsidRPr="00D14232" w:rsidRDefault="00DD5409" w:rsidP="0075370F">
      <w:pPr>
        <w:ind w:left="1134"/>
        <w:jc w:val="both"/>
        <w:rPr>
          <w:rFonts w:ascii="Arial" w:hAnsi="Arial" w:cs="Arial"/>
          <w:sz w:val="18"/>
          <w:szCs w:val="18"/>
        </w:rPr>
      </w:pPr>
    </w:p>
    <w:p w14:paraId="4F2371B8" w14:textId="00A1786C" w:rsidR="00DE4C86" w:rsidRPr="000277E3" w:rsidRDefault="00DD5409" w:rsidP="00422D63">
      <w:pPr>
        <w:ind w:left="1134"/>
        <w:jc w:val="both"/>
        <w:rPr>
          <w:rFonts w:ascii="Arial" w:hAnsi="Arial" w:cs="Arial"/>
          <w:sz w:val="18"/>
          <w:szCs w:val="18"/>
        </w:rPr>
      </w:pPr>
      <w:r>
        <w:rPr>
          <w:rFonts w:ascii="Arial" w:hAnsi="Arial"/>
          <w:b/>
          <w:sz w:val="18"/>
          <w:szCs w:val="18"/>
        </w:rPr>
        <w:t>Parigi, 2</w:t>
      </w:r>
      <w:r w:rsidR="00C300D8">
        <w:rPr>
          <w:rFonts w:ascii="Arial" w:hAnsi="Arial"/>
          <w:b/>
          <w:sz w:val="18"/>
          <w:szCs w:val="18"/>
        </w:rPr>
        <w:t>6</w:t>
      </w:r>
      <w:r>
        <w:rPr>
          <w:rFonts w:ascii="Arial" w:hAnsi="Arial"/>
          <w:b/>
          <w:sz w:val="18"/>
          <w:szCs w:val="18"/>
        </w:rPr>
        <w:t xml:space="preserve"> luglio 2019</w:t>
      </w:r>
      <w:r>
        <w:rPr>
          <w:rFonts w:ascii="Arial" w:hAnsi="Arial"/>
          <w:sz w:val="18"/>
          <w:szCs w:val="18"/>
        </w:rPr>
        <w:t xml:space="preserve"> – </w:t>
      </w:r>
      <w:r w:rsidRPr="00F12580">
        <w:rPr>
          <w:rFonts w:ascii="Arial" w:hAnsi="Arial"/>
          <w:b/>
          <w:bCs/>
          <w:sz w:val="18"/>
          <w:szCs w:val="18"/>
        </w:rPr>
        <w:t>JCDecaux SA</w:t>
      </w:r>
      <w:r>
        <w:rPr>
          <w:rFonts w:ascii="Arial" w:hAnsi="Arial"/>
          <w:sz w:val="18"/>
          <w:szCs w:val="18"/>
        </w:rPr>
        <w:t xml:space="preserve"> (Euronext Parigi: DEC), numero uno al mondo della comunicazione esterna, pubblica oggi i propri risultati del primo </w:t>
      </w:r>
      <w:r w:rsidR="003E7622">
        <w:rPr>
          <w:rFonts w:ascii="Arial" w:hAnsi="Arial"/>
          <w:sz w:val="18"/>
          <w:szCs w:val="18"/>
        </w:rPr>
        <w:t>semestre</w:t>
      </w:r>
      <w:r>
        <w:rPr>
          <w:rFonts w:ascii="Arial" w:hAnsi="Arial"/>
          <w:sz w:val="18"/>
          <w:szCs w:val="18"/>
        </w:rPr>
        <w:t xml:space="preserve"> del 2019.</w:t>
      </w:r>
    </w:p>
    <w:p w14:paraId="1DCE878C" w14:textId="77777777" w:rsidR="00DD5409" w:rsidRPr="00D14232" w:rsidRDefault="00DD5409" w:rsidP="0075370F">
      <w:pPr>
        <w:ind w:left="1134"/>
        <w:jc w:val="both"/>
        <w:rPr>
          <w:rFonts w:ascii="Arial" w:hAnsi="Arial" w:cs="Arial"/>
          <w:sz w:val="18"/>
          <w:szCs w:val="18"/>
        </w:rPr>
      </w:pPr>
    </w:p>
    <w:p w14:paraId="1732C853" w14:textId="77777777" w:rsidR="00E11AF9" w:rsidRPr="000277E3" w:rsidRDefault="009C4671" w:rsidP="0075370F">
      <w:pPr>
        <w:ind w:left="1134"/>
        <w:jc w:val="both"/>
        <w:rPr>
          <w:rFonts w:ascii="Arial" w:hAnsi="Arial" w:cs="Arial"/>
          <w:sz w:val="18"/>
          <w:szCs w:val="18"/>
        </w:rPr>
      </w:pPr>
      <w:r>
        <w:rPr>
          <w:rFonts w:ascii="Arial" w:hAnsi="Arial"/>
          <w:sz w:val="18"/>
          <w:szCs w:val="18"/>
        </w:rPr>
        <w:t>A seguito dell'applicazione delle norme IFRS 11 dal 1° gennaio 2014 e IFRS 16 dal 1° gennaio 2019 e in conformità alle raccomandazioni dell'AMF, i dati operativi presentati di seguito sono rideterminati:</w:t>
      </w:r>
    </w:p>
    <w:p w14:paraId="123BD00D" w14:textId="77777777" w:rsidR="00E11AF9" w:rsidRPr="000277E3" w:rsidRDefault="00E11AF9" w:rsidP="00E11AF9">
      <w:pPr>
        <w:pStyle w:val="Paragrafoelenco"/>
        <w:numPr>
          <w:ilvl w:val="0"/>
          <w:numId w:val="28"/>
        </w:numPr>
        <w:ind w:left="1701" w:hanging="218"/>
        <w:jc w:val="both"/>
        <w:rPr>
          <w:rFonts w:ascii="Arial" w:hAnsi="Arial" w:cs="Arial"/>
          <w:sz w:val="18"/>
          <w:szCs w:val="18"/>
        </w:rPr>
      </w:pPr>
      <w:r>
        <w:rPr>
          <w:rFonts w:ascii="Arial" w:hAnsi="Arial"/>
          <w:sz w:val="18"/>
          <w:szCs w:val="18"/>
        </w:rPr>
        <w:t>per tener conto dell'impatto proporzionale delle società a controllo congiunto, per quanto attiene la norma IFRS 11,</w:t>
      </w:r>
    </w:p>
    <w:p w14:paraId="1BA94988" w14:textId="77777777" w:rsidR="00E11AF9" w:rsidRPr="000277E3" w:rsidRDefault="00E11AF9" w:rsidP="00E11AF9">
      <w:pPr>
        <w:pStyle w:val="Paragrafoelenco"/>
        <w:numPr>
          <w:ilvl w:val="0"/>
          <w:numId w:val="28"/>
        </w:numPr>
        <w:ind w:left="1701" w:hanging="218"/>
        <w:jc w:val="both"/>
        <w:rPr>
          <w:rFonts w:ascii="Arial" w:hAnsi="Arial" w:cs="Arial"/>
          <w:sz w:val="18"/>
          <w:szCs w:val="18"/>
        </w:rPr>
      </w:pPr>
      <w:r>
        <w:rPr>
          <w:rFonts w:ascii="Arial" w:hAnsi="Arial"/>
          <w:sz w:val="18"/>
          <w:szCs w:val="18"/>
        </w:rPr>
        <w:t>per escludere l'impatto dell'IFRS 16 sui nostri contratti di locazione "core business" (contratti di locazione di spazi destinati a strutture pubblicitarie diversi da quelli di locazione immobiliare e di veicoli).</w:t>
      </w:r>
    </w:p>
    <w:p w14:paraId="4876B2D5" w14:textId="2F23A593" w:rsidR="00DD5409" w:rsidRPr="000277E3" w:rsidRDefault="009C4671" w:rsidP="0075370F">
      <w:pPr>
        <w:ind w:left="1134"/>
        <w:jc w:val="both"/>
        <w:rPr>
          <w:rFonts w:ascii="Arial" w:hAnsi="Arial" w:cs="Arial"/>
          <w:sz w:val="18"/>
          <w:szCs w:val="18"/>
        </w:rPr>
      </w:pPr>
      <w:r>
        <w:rPr>
          <w:rFonts w:ascii="Arial" w:hAnsi="Arial"/>
          <w:sz w:val="18"/>
          <w:szCs w:val="18"/>
        </w:rPr>
        <w:t xml:space="preserve">Per la definizione di tali dati rideterminati e per la riconciliazione con i dati IFRS si rimanda al paragrafo "Dati rideterminati" alle </w:t>
      </w:r>
      <w:r w:rsidRPr="003E7622">
        <w:rPr>
          <w:rFonts w:ascii="Arial" w:hAnsi="Arial"/>
          <w:sz w:val="18"/>
          <w:szCs w:val="18"/>
        </w:rPr>
        <w:t xml:space="preserve">pagine </w:t>
      </w:r>
      <w:r w:rsidR="003E7622">
        <w:rPr>
          <w:rFonts w:ascii="Arial" w:hAnsi="Arial"/>
          <w:sz w:val="18"/>
          <w:szCs w:val="18"/>
        </w:rPr>
        <w:t>6</w:t>
      </w:r>
      <w:r w:rsidRPr="003E7622">
        <w:rPr>
          <w:rFonts w:ascii="Arial" w:hAnsi="Arial"/>
          <w:sz w:val="18"/>
          <w:szCs w:val="18"/>
        </w:rPr>
        <w:t xml:space="preserve"> e </w:t>
      </w:r>
      <w:r w:rsidR="003E7622">
        <w:rPr>
          <w:rFonts w:ascii="Arial" w:hAnsi="Arial"/>
          <w:sz w:val="18"/>
          <w:szCs w:val="18"/>
        </w:rPr>
        <w:t>7</w:t>
      </w:r>
      <w:r>
        <w:rPr>
          <w:rFonts w:ascii="Arial" w:hAnsi="Arial"/>
          <w:sz w:val="18"/>
          <w:szCs w:val="18"/>
        </w:rPr>
        <w:t xml:space="preserve"> del presente comunicato stampa.</w:t>
      </w:r>
    </w:p>
    <w:p w14:paraId="0CB779B6" w14:textId="77777777" w:rsidR="00DD5409" w:rsidRPr="00D14232" w:rsidRDefault="00DD5409" w:rsidP="0075370F">
      <w:pPr>
        <w:ind w:left="1134"/>
        <w:jc w:val="both"/>
        <w:rPr>
          <w:rFonts w:ascii="Arial" w:hAnsi="Arial" w:cs="Arial"/>
          <w:sz w:val="18"/>
          <w:szCs w:val="18"/>
        </w:rPr>
      </w:pPr>
    </w:p>
    <w:p w14:paraId="75C4F6E8" w14:textId="77777777" w:rsidR="00C23D95" w:rsidRPr="00D14232" w:rsidRDefault="00C23D95" w:rsidP="0075370F">
      <w:pPr>
        <w:ind w:left="1134"/>
        <w:jc w:val="both"/>
        <w:rPr>
          <w:rFonts w:ascii="Arial" w:hAnsi="Arial" w:cs="Arial"/>
          <w:sz w:val="18"/>
          <w:szCs w:val="18"/>
        </w:rPr>
      </w:pPr>
    </w:p>
    <w:p w14:paraId="2041208A" w14:textId="339CFA0F" w:rsidR="00A33C9C" w:rsidRPr="00C24CFF" w:rsidRDefault="00A33C9C" w:rsidP="00A33C9C">
      <w:pPr>
        <w:ind w:left="1134"/>
        <w:jc w:val="both"/>
        <w:rPr>
          <w:rFonts w:ascii="Arial" w:hAnsi="Arial" w:cs="Arial"/>
          <w:sz w:val="18"/>
          <w:szCs w:val="18"/>
        </w:rPr>
      </w:pPr>
      <w:r>
        <w:rPr>
          <w:rFonts w:ascii="Arial" w:hAnsi="Arial"/>
          <w:sz w:val="18"/>
          <w:szCs w:val="18"/>
        </w:rPr>
        <w:t xml:space="preserve">In occasione della pubblicazione dei risultati del primo semestre </w:t>
      </w:r>
      <w:r w:rsidR="008C6145">
        <w:rPr>
          <w:rFonts w:ascii="Arial" w:hAnsi="Arial"/>
          <w:sz w:val="18"/>
          <w:szCs w:val="18"/>
        </w:rPr>
        <w:t xml:space="preserve">del </w:t>
      </w:r>
      <w:r>
        <w:rPr>
          <w:rFonts w:ascii="Arial" w:hAnsi="Arial"/>
          <w:sz w:val="18"/>
          <w:szCs w:val="18"/>
        </w:rPr>
        <w:t xml:space="preserve">2019, </w:t>
      </w:r>
      <w:r>
        <w:rPr>
          <w:rFonts w:ascii="Arial" w:hAnsi="Arial"/>
          <w:b/>
          <w:sz w:val="18"/>
          <w:szCs w:val="18"/>
        </w:rPr>
        <w:t>Jean-</w:t>
      </w:r>
      <w:r w:rsidR="007E7113">
        <w:rPr>
          <w:rFonts w:ascii="Arial" w:hAnsi="Arial"/>
          <w:b/>
          <w:sz w:val="18"/>
          <w:szCs w:val="18"/>
        </w:rPr>
        <w:t xml:space="preserve">Charles </w:t>
      </w:r>
      <w:r>
        <w:rPr>
          <w:rFonts w:ascii="Arial" w:hAnsi="Arial"/>
          <w:b/>
          <w:sz w:val="18"/>
          <w:szCs w:val="18"/>
        </w:rPr>
        <w:t xml:space="preserve">Decaux, Co-Direttore Generale di JCDecaux, </w:t>
      </w:r>
      <w:r>
        <w:rPr>
          <w:rFonts w:ascii="Arial" w:hAnsi="Arial"/>
          <w:sz w:val="18"/>
          <w:szCs w:val="18"/>
        </w:rPr>
        <w:t>ha dichiarato:</w:t>
      </w:r>
    </w:p>
    <w:p w14:paraId="7D8A0427" w14:textId="77777777" w:rsidR="00A33C9C" w:rsidRPr="00D14232" w:rsidRDefault="00A33C9C" w:rsidP="00A33C9C">
      <w:pPr>
        <w:ind w:left="1134"/>
        <w:jc w:val="both"/>
        <w:rPr>
          <w:rFonts w:ascii="Arial" w:hAnsi="Arial" w:cs="Arial"/>
          <w:sz w:val="18"/>
          <w:szCs w:val="18"/>
        </w:rPr>
      </w:pPr>
    </w:p>
    <w:p w14:paraId="32CE4AF3" w14:textId="5C7A7D87" w:rsidR="003362BC" w:rsidRPr="003362BC" w:rsidRDefault="00A33C9C" w:rsidP="00C24CFF">
      <w:pPr>
        <w:spacing w:before="120"/>
        <w:ind w:left="1134"/>
        <w:jc w:val="both"/>
        <w:rPr>
          <w:rFonts w:ascii="Arial" w:eastAsia="Times New Roman" w:hAnsi="Arial" w:cs="Arial"/>
          <w:i/>
          <w:sz w:val="18"/>
          <w:szCs w:val="18"/>
        </w:rPr>
      </w:pPr>
      <w:r>
        <w:rPr>
          <w:rFonts w:ascii="Arial" w:hAnsi="Arial"/>
          <w:i/>
          <w:sz w:val="18"/>
          <w:szCs w:val="18"/>
        </w:rPr>
        <w:t xml:space="preserve">"Il nostro fatturato di 1.842 milioni </w:t>
      </w:r>
      <w:r w:rsidR="007E7113">
        <w:rPr>
          <w:rFonts w:ascii="Arial" w:hAnsi="Arial"/>
          <w:i/>
          <w:sz w:val="18"/>
          <w:szCs w:val="18"/>
        </w:rPr>
        <w:t xml:space="preserve">di euro </w:t>
      </w:r>
      <w:r>
        <w:rPr>
          <w:rFonts w:ascii="Arial" w:hAnsi="Arial"/>
          <w:i/>
          <w:sz w:val="18"/>
          <w:szCs w:val="18"/>
        </w:rPr>
        <w:t xml:space="preserve">nel primo semestre </w:t>
      </w:r>
      <w:r w:rsidR="008C6145">
        <w:rPr>
          <w:rFonts w:ascii="Arial" w:hAnsi="Arial"/>
          <w:i/>
          <w:sz w:val="18"/>
          <w:szCs w:val="18"/>
        </w:rPr>
        <w:t xml:space="preserve">del </w:t>
      </w:r>
      <w:r>
        <w:rPr>
          <w:rFonts w:ascii="Arial" w:hAnsi="Arial"/>
          <w:i/>
          <w:sz w:val="18"/>
          <w:szCs w:val="18"/>
        </w:rPr>
        <w:t xml:space="preserve">2019, </w:t>
      </w:r>
      <w:r w:rsidR="003E7622">
        <w:rPr>
          <w:rFonts w:ascii="Arial" w:hAnsi="Arial"/>
          <w:i/>
          <w:sz w:val="18"/>
          <w:szCs w:val="18"/>
        </w:rPr>
        <w:t xml:space="preserve">è </w:t>
      </w:r>
      <w:r>
        <w:rPr>
          <w:rFonts w:ascii="Arial" w:hAnsi="Arial"/>
          <w:i/>
          <w:sz w:val="18"/>
          <w:szCs w:val="18"/>
        </w:rPr>
        <w:t>in aumento del +12,1% in crescita pubblicata, a seguito dell'acquisizione di APN Outdoor, e del +5,2% in crescita organica, favorita da un secondo trimestre migliore del previsto con una crescita organica del +5,1% grazie all'accelerazione</w:t>
      </w:r>
      <w:r w:rsidR="00D838EE">
        <w:rPr>
          <w:rFonts w:ascii="Arial" w:hAnsi="Arial"/>
          <w:i/>
          <w:sz w:val="18"/>
          <w:szCs w:val="18"/>
        </w:rPr>
        <w:t xml:space="preserve"> della crescita</w:t>
      </w:r>
      <w:r>
        <w:rPr>
          <w:rFonts w:ascii="Arial" w:hAnsi="Arial"/>
          <w:i/>
          <w:sz w:val="18"/>
          <w:szCs w:val="18"/>
        </w:rPr>
        <w:t xml:space="preserve"> dell'Arredo </w:t>
      </w:r>
      <w:r w:rsidR="00C4050D">
        <w:rPr>
          <w:rFonts w:ascii="Arial" w:hAnsi="Arial"/>
          <w:i/>
          <w:sz w:val="18"/>
          <w:szCs w:val="18"/>
        </w:rPr>
        <w:t>U</w:t>
      </w:r>
      <w:r>
        <w:rPr>
          <w:rFonts w:ascii="Arial" w:hAnsi="Arial"/>
          <w:i/>
          <w:sz w:val="18"/>
          <w:szCs w:val="18"/>
        </w:rPr>
        <w:t>rbano. Il fatturato digitale del Gruppo,</w:t>
      </w:r>
      <w:r w:rsidR="00C4050D">
        <w:rPr>
          <w:rFonts w:ascii="Arial" w:hAnsi="Arial"/>
          <w:i/>
          <w:sz w:val="18"/>
          <w:szCs w:val="18"/>
        </w:rPr>
        <w:t xml:space="preserve"> in crescita del +44,2%,</w:t>
      </w:r>
      <w:r>
        <w:rPr>
          <w:rFonts w:ascii="Arial" w:hAnsi="Arial"/>
          <w:i/>
          <w:sz w:val="18"/>
          <w:szCs w:val="18"/>
        </w:rPr>
        <w:t xml:space="preserve"> che rappresenta oggi il 23,9% del fatturato totale, continua a crescere in modo significativo in tutti i segmenti: Arredo Urbano a +2</w:t>
      </w:r>
      <w:r w:rsidR="00C4050D">
        <w:rPr>
          <w:rFonts w:ascii="Arial" w:hAnsi="Arial"/>
          <w:i/>
          <w:sz w:val="18"/>
          <w:szCs w:val="18"/>
        </w:rPr>
        <w:t>6,6</w:t>
      </w:r>
      <w:r>
        <w:rPr>
          <w:rFonts w:ascii="Arial" w:hAnsi="Arial"/>
          <w:i/>
          <w:sz w:val="18"/>
          <w:szCs w:val="18"/>
        </w:rPr>
        <w:t>%, Trasporti a +</w:t>
      </w:r>
      <w:r w:rsidR="00C4050D">
        <w:rPr>
          <w:rFonts w:ascii="Arial" w:hAnsi="Arial"/>
          <w:i/>
          <w:sz w:val="18"/>
          <w:szCs w:val="18"/>
        </w:rPr>
        <w:t>4</w:t>
      </w:r>
      <w:r>
        <w:rPr>
          <w:rFonts w:ascii="Arial" w:hAnsi="Arial"/>
          <w:i/>
          <w:sz w:val="18"/>
          <w:szCs w:val="18"/>
        </w:rPr>
        <w:t xml:space="preserve">0,9% e </w:t>
      </w:r>
      <w:r w:rsidR="00C4050D">
        <w:rPr>
          <w:rFonts w:ascii="Arial" w:hAnsi="Arial"/>
          <w:i/>
          <w:sz w:val="18"/>
          <w:szCs w:val="18"/>
        </w:rPr>
        <w:t>Affissione</w:t>
      </w:r>
      <w:r>
        <w:rPr>
          <w:rFonts w:ascii="Arial" w:hAnsi="Arial"/>
          <w:i/>
          <w:sz w:val="18"/>
          <w:szCs w:val="18"/>
        </w:rPr>
        <w:t xml:space="preserve"> a +</w:t>
      </w:r>
      <w:r w:rsidR="00C4050D">
        <w:rPr>
          <w:rFonts w:ascii="Arial" w:hAnsi="Arial"/>
          <w:i/>
          <w:sz w:val="18"/>
          <w:szCs w:val="18"/>
        </w:rPr>
        <w:t>161,2</w:t>
      </w:r>
      <w:r>
        <w:rPr>
          <w:rFonts w:ascii="Arial" w:hAnsi="Arial"/>
          <w:i/>
          <w:sz w:val="18"/>
          <w:szCs w:val="18"/>
        </w:rPr>
        <w:t>%. La crescita organica dell'Arredo Urbano, in aumento del +5,6%, beneficia della buona performance</w:t>
      </w:r>
      <w:r w:rsidR="00D838EE">
        <w:rPr>
          <w:rFonts w:ascii="Arial" w:hAnsi="Arial"/>
          <w:i/>
          <w:sz w:val="18"/>
          <w:szCs w:val="18"/>
        </w:rPr>
        <w:t xml:space="preserve"> della Francia,</w:t>
      </w:r>
      <w:r>
        <w:rPr>
          <w:rFonts w:ascii="Arial" w:hAnsi="Arial"/>
          <w:i/>
          <w:sz w:val="18"/>
          <w:szCs w:val="18"/>
        </w:rPr>
        <w:t xml:space="preserve"> del Resto d'Europa, e del Nord America, oltre che della crescita a due cifre </w:t>
      </w:r>
      <w:r w:rsidR="00D838EE">
        <w:rPr>
          <w:rFonts w:ascii="Arial" w:hAnsi="Arial"/>
          <w:i/>
          <w:sz w:val="18"/>
          <w:szCs w:val="18"/>
        </w:rPr>
        <w:t>nella regione Asia-Pacifico</w:t>
      </w:r>
      <w:r>
        <w:rPr>
          <w:rFonts w:ascii="Arial" w:hAnsi="Arial"/>
          <w:i/>
          <w:sz w:val="18"/>
          <w:szCs w:val="18"/>
        </w:rPr>
        <w:t>. I Trasporti, in crescita del +8,1%, hanno registrato buoni risultati nella regione Asia</w:t>
      </w:r>
      <w:r>
        <w:rPr>
          <w:rFonts w:ascii="Arial" w:hAnsi="Arial"/>
          <w:i/>
          <w:sz w:val="18"/>
          <w:szCs w:val="18"/>
        </w:rPr>
        <w:noBreakHyphen/>
        <w:t xml:space="preserve">-Pacifico, nonostante </w:t>
      </w:r>
      <w:r w:rsidR="00D838EE">
        <w:rPr>
          <w:rFonts w:ascii="Arial" w:hAnsi="Arial"/>
          <w:i/>
          <w:sz w:val="18"/>
          <w:szCs w:val="18"/>
        </w:rPr>
        <w:t>la diminuzione del fatturato</w:t>
      </w:r>
      <w:r>
        <w:rPr>
          <w:rFonts w:ascii="Arial" w:hAnsi="Arial"/>
          <w:i/>
          <w:sz w:val="18"/>
          <w:szCs w:val="18"/>
        </w:rPr>
        <w:t xml:space="preserve"> delle nostre attività nelle metropolitane in Cina nel secondo trimestre del 2019, e una crescita a due cifre</w:t>
      </w:r>
      <w:r w:rsidR="00D838EE">
        <w:rPr>
          <w:rFonts w:ascii="Arial" w:hAnsi="Arial"/>
          <w:i/>
          <w:sz w:val="18"/>
          <w:szCs w:val="18"/>
        </w:rPr>
        <w:t xml:space="preserve"> nel </w:t>
      </w:r>
      <w:r w:rsidR="00A06262">
        <w:rPr>
          <w:rFonts w:ascii="Arial" w:hAnsi="Arial"/>
          <w:i/>
          <w:sz w:val="18"/>
          <w:szCs w:val="18"/>
        </w:rPr>
        <w:t>R</w:t>
      </w:r>
      <w:r w:rsidR="00D838EE">
        <w:rPr>
          <w:rFonts w:ascii="Arial" w:hAnsi="Arial"/>
          <w:i/>
          <w:sz w:val="18"/>
          <w:szCs w:val="18"/>
        </w:rPr>
        <w:t>esto d’Europa e</w:t>
      </w:r>
      <w:r>
        <w:rPr>
          <w:rFonts w:ascii="Arial" w:hAnsi="Arial"/>
          <w:i/>
          <w:sz w:val="18"/>
          <w:szCs w:val="18"/>
        </w:rPr>
        <w:t xml:space="preserve"> in Nord America. La diminuzione del fatturato organico dell</w:t>
      </w:r>
      <w:r w:rsidR="008338FC">
        <w:rPr>
          <w:rFonts w:ascii="Arial" w:hAnsi="Arial"/>
          <w:i/>
          <w:sz w:val="18"/>
          <w:szCs w:val="18"/>
        </w:rPr>
        <w:t xml:space="preserve">’Affissione </w:t>
      </w:r>
      <w:r w:rsidR="00C1154C">
        <w:rPr>
          <w:rFonts w:ascii="Arial" w:hAnsi="Arial"/>
          <w:i/>
          <w:sz w:val="18"/>
          <w:szCs w:val="18"/>
        </w:rPr>
        <w:t xml:space="preserve">del -3,8% </w:t>
      </w:r>
      <w:r>
        <w:rPr>
          <w:rFonts w:ascii="Arial" w:hAnsi="Arial"/>
          <w:i/>
          <w:sz w:val="18"/>
          <w:szCs w:val="18"/>
        </w:rPr>
        <w:t xml:space="preserve">continua ad essere penalizzata dal piano di riduzione del </w:t>
      </w:r>
      <w:r w:rsidR="00C1154C">
        <w:rPr>
          <w:rFonts w:ascii="Arial" w:hAnsi="Arial"/>
          <w:i/>
          <w:sz w:val="18"/>
          <w:szCs w:val="18"/>
        </w:rPr>
        <w:t xml:space="preserve">nostro </w:t>
      </w:r>
      <w:r>
        <w:rPr>
          <w:rFonts w:ascii="Arial" w:hAnsi="Arial"/>
          <w:i/>
          <w:sz w:val="18"/>
          <w:szCs w:val="18"/>
        </w:rPr>
        <w:t>patrimonio dei grandi formati tradizionali nel Regno Unito e da un mancato consolidamento in alcune aree geografiche, mentre la nostra attività relativa ai grandi formati digitali continua a crescere a due cifre.</w:t>
      </w:r>
    </w:p>
    <w:p w14:paraId="2F1E0CA4" w14:textId="2EDC2D6D" w:rsidR="003362BC" w:rsidRPr="000C5458" w:rsidRDefault="00E11F9D" w:rsidP="00A33C9C">
      <w:pPr>
        <w:spacing w:before="120"/>
        <w:ind w:left="1134"/>
        <w:jc w:val="both"/>
        <w:rPr>
          <w:rFonts w:ascii="Arial" w:eastAsia="Times New Roman" w:hAnsi="Arial" w:cs="Arial"/>
          <w:i/>
          <w:sz w:val="18"/>
          <w:szCs w:val="18"/>
        </w:rPr>
      </w:pPr>
      <w:r>
        <w:rPr>
          <w:rFonts w:ascii="Arial" w:hAnsi="Arial"/>
          <w:i/>
          <w:sz w:val="18"/>
          <w:szCs w:val="18"/>
        </w:rPr>
        <w:t xml:space="preserve">Come </w:t>
      </w:r>
      <w:r w:rsidR="00D838EE">
        <w:rPr>
          <w:rFonts w:ascii="Arial" w:hAnsi="Arial"/>
          <w:i/>
          <w:sz w:val="18"/>
          <w:szCs w:val="18"/>
        </w:rPr>
        <w:t>anticipato</w:t>
      </w:r>
      <w:r>
        <w:rPr>
          <w:rFonts w:ascii="Arial" w:hAnsi="Arial"/>
          <w:i/>
          <w:sz w:val="18"/>
          <w:szCs w:val="18"/>
        </w:rPr>
        <w:t>, il nostro margine operativo totale è aumentato di +220 pb al 16,6%. Tutte le nostre 3 attività hanno registrato una crescita dei margini nel periodo. L’Arredo Urbano, i Trasporti e l</w:t>
      </w:r>
      <w:r w:rsidR="00F21774">
        <w:rPr>
          <w:rFonts w:ascii="Arial" w:hAnsi="Arial"/>
          <w:i/>
          <w:sz w:val="18"/>
          <w:szCs w:val="18"/>
        </w:rPr>
        <w:t>’Affissione</w:t>
      </w:r>
      <w:r>
        <w:rPr>
          <w:rFonts w:ascii="Arial" w:hAnsi="Arial"/>
          <w:i/>
          <w:sz w:val="18"/>
          <w:szCs w:val="18"/>
        </w:rPr>
        <w:t xml:space="preserve"> hanno registrato una crescita rispettivamente di +30bp, +500bp e +210bp. Questo miglioramento del margine riflette l'effetto moltiplicatore operativo derivante dalla buona crescita organica del fatturato, che ha risentito della digitalizzazione del nostro patrimonio premium</w:t>
      </w:r>
      <w:r w:rsidR="006D0B2C">
        <w:rPr>
          <w:rFonts w:ascii="Arial" w:hAnsi="Arial"/>
          <w:i/>
          <w:sz w:val="18"/>
          <w:szCs w:val="18"/>
        </w:rPr>
        <w:t xml:space="preserve"> in corso</w:t>
      </w:r>
      <w:r>
        <w:rPr>
          <w:rFonts w:ascii="Arial" w:hAnsi="Arial"/>
          <w:i/>
          <w:sz w:val="18"/>
          <w:szCs w:val="18"/>
        </w:rPr>
        <w:t xml:space="preserve"> e de</w:t>
      </w:r>
      <w:r w:rsidR="006D0B2C">
        <w:rPr>
          <w:rFonts w:ascii="Arial" w:hAnsi="Arial"/>
          <w:i/>
          <w:sz w:val="18"/>
          <w:szCs w:val="18"/>
        </w:rPr>
        <w:t>gli important</w:t>
      </w:r>
      <w:r>
        <w:rPr>
          <w:rFonts w:ascii="Arial" w:hAnsi="Arial"/>
          <w:i/>
          <w:sz w:val="18"/>
          <w:szCs w:val="18"/>
        </w:rPr>
        <w:t xml:space="preserve">i contratti stipulati </w:t>
      </w:r>
      <w:r w:rsidR="00D838EE">
        <w:rPr>
          <w:rFonts w:ascii="Arial" w:hAnsi="Arial"/>
          <w:i/>
          <w:sz w:val="18"/>
          <w:szCs w:val="18"/>
        </w:rPr>
        <w:t xml:space="preserve">degli </w:t>
      </w:r>
      <w:r>
        <w:rPr>
          <w:rFonts w:ascii="Arial" w:hAnsi="Arial"/>
          <w:i/>
          <w:sz w:val="18"/>
          <w:szCs w:val="18"/>
        </w:rPr>
        <w:t>ultimi 2 anni, nonché del contributo</w:t>
      </w:r>
      <w:r w:rsidR="005841A3">
        <w:rPr>
          <w:rFonts w:ascii="Arial" w:hAnsi="Arial"/>
          <w:i/>
          <w:sz w:val="18"/>
          <w:szCs w:val="18"/>
        </w:rPr>
        <w:t xml:space="preserve"> graduale</w:t>
      </w:r>
      <w:r>
        <w:rPr>
          <w:rFonts w:ascii="Arial" w:hAnsi="Arial"/>
          <w:i/>
          <w:sz w:val="18"/>
          <w:szCs w:val="18"/>
        </w:rPr>
        <w:t xml:space="preserve"> di APN Outdoor.</w:t>
      </w:r>
    </w:p>
    <w:p w14:paraId="2781FD9B" w14:textId="00E2802B" w:rsidR="00A33C9C" w:rsidRPr="000C5458" w:rsidRDefault="00C72CB1" w:rsidP="00A33C9C">
      <w:pPr>
        <w:spacing w:before="120"/>
        <w:ind w:left="1134"/>
        <w:jc w:val="both"/>
        <w:rPr>
          <w:rFonts w:ascii="Arial" w:eastAsia="Times New Roman" w:hAnsi="Arial" w:cs="Arial"/>
          <w:i/>
          <w:sz w:val="18"/>
          <w:szCs w:val="18"/>
        </w:rPr>
      </w:pPr>
      <w:r>
        <w:rPr>
          <w:rFonts w:ascii="Arial" w:hAnsi="Arial"/>
          <w:i/>
          <w:sz w:val="18"/>
          <w:szCs w:val="18"/>
        </w:rPr>
        <w:t>Per il terzo trimestre del 2019</w:t>
      </w:r>
      <w:r w:rsidR="0053030E">
        <w:rPr>
          <w:rFonts w:ascii="Arial" w:hAnsi="Arial"/>
          <w:i/>
          <w:sz w:val="18"/>
          <w:szCs w:val="18"/>
        </w:rPr>
        <w:t>,</w:t>
      </w:r>
      <w:r>
        <w:rPr>
          <w:rFonts w:ascii="Arial" w:hAnsi="Arial"/>
          <w:i/>
          <w:sz w:val="18"/>
          <w:szCs w:val="18"/>
        </w:rPr>
        <w:t xml:space="preserve"> tenendo conto dell'elevato livello comparabile dello scorso anno </w:t>
      </w:r>
      <w:r w:rsidR="0053030E">
        <w:rPr>
          <w:rFonts w:ascii="Arial" w:hAnsi="Arial"/>
          <w:i/>
          <w:sz w:val="18"/>
          <w:szCs w:val="18"/>
        </w:rPr>
        <w:t>e del mancato rinnovo del contratto nazionale</w:t>
      </w:r>
      <w:r w:rsidR="00D838EE">
        <w:rPr>
          <w:rFonts w:ascii="Arial" w:hAnsi="Arial"/>
          <w:i/>
          <w:sz w:val="18"/>
          <w:szCs w:val="18"/>
        </w:rPr>
        <w:t xml:space="preserve"> deficitario</w:t>
      </w:r>
      <w:r w:rsidR="0053030E">
        <w:rPr>
          <w:rFonts w:ascii="Arial" w:hAnsi="Arial"/>
          <w:i/>
          <w:sz w:val="18"/>
          <w:szCs w:val="18"/>
        </w:rPr>
        <w:t xml:space="preserve"> degli aeroporti spagnoli AENA, prevediamo </w:t>
      </w:r>
      <w:r w:rsidR="00D838EE">
        <w:rPr>
          <w:rFonts w:ascii="Arial" w:hAnsi="Arial"/>
          <w:i/>
          <w:sz w:val="18"/>
          <w:szCs w:val="18"/>
        </w:rPr>
        <w:t>un</w:t>
      </w:r>
      <w:r w:rsidR="0053030E">
        <w:rPr>
          <w:rFonts w:ascii="Arial" w:hAnsi="Arial"/>
          <w:i/>
          <w:sz w:val="18"/>
          <w:szCs w:val="18"/>
        </w:rPr>
        <w:t xml:space="preserve"> fatturato organico rideterminato </w:t>
      </w:r>
      <w:r w:rsidR="00D838EE">
        <w:rPr>
          <w:rFonts w:ascii="Arial" w:hAnsi="Arial"/>
          <w:i/>
          <w:sz w:val="18"/>
          <w:szCs w:val="18"/>
        </w:rPr>
        <w:t xml:space="preserve">stabile rispetto al terzo trimestre </w:t>
      </w:r>
      <w:r w:rsidR="003D30A4">
        <w:rPr>
          <w:rFonts w:ascii="Arial" w:hAnsi="Arial"/>
          <w:i/>
          <w:sz w:val="18"/>
          <w:szCs w:val="18"/>
        </w:rPr>
        <w:t xml:space="preserve">del </w:t>
      </w:r>
      <w:r w:rsidR="00D838EE">
        <w:rPr>
          <w:rFonts w:ascii="Arial" w:hAnsi="Arial"/>
          <w:i/>
          <w:sz w:val="18"/>
          <w:szCs w:val="18"/>
        </w:rPr>
        <w:t xml:space="preserve">2018, a causa di </w:t>
      </w:r>
      <w:r w:rsidR="0053030E">
        <w:rPr>
          <w:rFonts w:ascii="Arial" w:hAnsi="Arial"/>
          <w:i/>
          <w:sz w:val="18"/>
          <w:szCs w:val="18"/>
        </w:rPr>
        <w:t xml:space="preserve">un minore fatturato in Cina e </w:t>
      </w:r>
      <w:r w:rsidR="005841A3">
        <w:rPr>
          <w:rFonts w:ascii="Arial" w:hAnsi="Arial"/>
          <w:i/>
          <w:sz w:val="18"/>
          <w:szCs w:val="18"/>
        </w:rPr>
        <w:t xml:space="preserve">ora anche ad </w:t>
      </w:r>
      <w:r w:rsidR="0053030E">
        <w:rPr>
          <w:rFonts w:ascii="Arial" w:hAnsi="Arial"/>
          <w:i/>
          <w:sz w:val="18"/>
          <w:szCs w:val="18"/>
        </w:rPr>
        <w:t xml:space="preserve">Hong Kong, nonostante le attività negli aeroporti in crescita. </w:t>
      </w:r>
      <w:r w:rsidR="00D838EE">
        <w:rPr>
          <w:rFonts w:ascii="Arial" w:hAnsi="Arial"/>
          <w:i/>
          <w:sz w:val="18"/>
          <w:szCs w:val="18"/>
        </w:rPr>
        <w:t>L</w:t>
      </w:r>
      <w:r w:rsidR="0053030E">
        <w:rPr>
          <w:rFonts w:ascii="Arial" w:hAnsi="Arial"/>
          <w:i/>
          <w:sz w:val="18"/>
          <w:szCs w:val="18"/>
        </w:rPr>
        <w:t>a nostra presenza geografica</w:t>
      </w:r>
      <w:r w:rsidR="00D838EE">
        <w:rPr>
          <w:rFonts w:ascii="Arial" w:hAnsi="Arial"/>
          <w:i/>
          <w:sz w:val="18"/>
          <w:szCs w:val="18"/>
        </w:rPr>
        <w:t xml:space="preserve"> diversificata</w:t>
      </w:r>
      <w:r w:rsidR="0053030E">
        <w:rPr>
          <w:rFonts w:ascii="Arial" w:hAnsi="Arial"/>
          <w:i/>
          <w:sz w:val="18"/>
          <w:szCs w:val="18"/>
        </w:rPr>
        <w:t>, che è piuttosto unica nel settore dei media,</w:t>
      </w:r>
      <w:r w:rsidR="00004875">
        <w:rPr>
          <w:rFonts w:ascii="Arial" w:hAnsi="Arial"/>
          <w:i/>
          <w:sz w:val="18"/>
          <w:szCs w:val="18"/>
        </w:rPr>
        <w:t xml:space="preserve"> consente al </w:t>
      </w:r>
      <w:r w:rsidR="0053030E">
        <w:rPr>
          <w:rFonts w:ascii="Arial" w:hAnsi="Arial"/>
          <w:i/>
          <w:sz w:val="18"/>
          <w:szCs w:val="18"/>
        </w:rPr>
        <w:t xml:space="preserve"> nostr</w:t>
      </w:r>
      <w:r w:rsidR="009D7A60">
        <w:rPr>
          <w:rFonts w:ascii="Arial" w:hAnsi="Arial"/>
          <w:i/>
          <w:sz w:val="18"/>
          <w:szCs w:val="18"/>
        </w:rPr>
        <w:t>o</w:t>
      </w:r>
      <w:r w:rsidR="0053030E">
        <w:rPr>
          <w:rFonts w:ascii="Arial" w:hAnsi="Arial"/>
          <w:i/>
          <w:sz w:val="18"/>
          <w:szCs w:val="18"/>
        </w:rPr>
        <w:t xml:space="preserve"> </w:t>
      </w:r>
      <w:r w:rsidR="002676A6">
        <w:rPr>
          <w:rFonts w:ascii="Arial" w:hAnsi="Arial"/>
          <w:i/>
          <w:sz w:val="18"/>
          <w:szCs w:val="18"/>
        </w:rPr>
        <w:t xml:space="preserve">fatturato </w:t>
      </w:r>
      <w:r w:rsidR="0053030E">
        <w:rPr>
          <w:rFonts w:ascii="Arial" w:hAnsi="Arial"/>
          <w:i/>
          <w:sz w:val="18"/>
          <w:szCs w:val="18"/>
        </w:rPr>
        <w:t>pubblicitari</w:t>
      </w:r>
      <w:r w:rsidR="009D7A60">
        <w:rPr>
          <w:rFonts w:ascii="Arial" w:hAnsi="Arial"/>
          <w:i/>
          <w:sz w:val="18"/>
          <w:szCs w:val="18"/>
        </w:rPr>
        <w:t>o</w:t>
      </w:r>
      <w:r w:rsidR="00004875">
        <w:rPr>
          <w:rFonts w:ascii="Arial" w:hAnsi="Arial"/>
          <w:i/>
          <w:sz w:val="18"/>
          <w:szCs w:val="18"/>
        </w:rPr>
        <w:t xml:space="preserve"> di essere più resiliente di fronte a un rallentamento dell’economia mondiale</w:t>
      </w:r>
      <w:r w:rsidR="0053030E">
        <w:rPr>
          <w:rFonts w:ascii="Arial" w:hAnsi="Arial"/>
          <w:i/>
          <w:sz w:val="18"/>
          <w:szCs w:val="18"/>
        </w:rPr>
        <w:t>.</w:t>
      </w:r>
    </w:p>
    <w:p w14:paraId="40EAE53F" w14:textId="0C5BA82C" w:rsidR="00A33C9C" w:rsidRPr="000277E3" w:rsidRDefault="00A33C9C" w:rsidP="004B576E">
      <w:pPr>
        <w:spacing w:before="120"/>
        <w:ind w:left="1134"/>
        <w:jc w:val="both"/>
        <w:rPr>
          <w:rFonts w:ascii="Arial" w:eastAsia="Times New Roman" w:hAnsi="Arial" w:cs="Arial"/>
          <w:i/>
          <w:sz w:val="18"/>
          <w:szCs w:val="18"/>
        </w:rPr>
      </w:pPr>
      <w:r>
        <w:rPr>
          <w:rFonts w:ascii="Arial" w:hAnsi="Arial"/>
          <w:i/>
          <w:sz w:val="18"/>
          <w:szCs w:val="18"/>
        </w:rPr>
        <w:t xml:space="preserve">In un contesto mediatico sempre più frammentato, la comunicazione esterna rafforza la propria attrattiva. Con la nostra crescente esposizione ai paesi a più alta crescita, lo sviluppo del portafoglio digitale combinato con una nuova piattaforma di vendita al pubblico basata su dati qualitativi, la nostra capacità di aggiudicarci nuovi contratti e la qualità dei nostri team in tutto il mondo, siamo convinti di essere ben posizionati per continuare a </w:t>
      </w:r>
      <w:r w:rsidR="0053030E">
        <w:rPr>
          <w:rFonts w:ascii="Arial" w:hAnsi="Arial"/>
          <w:i/>
          <w:sz w:val="18"/>
          <w:szCs w:val="18"/>
        </w:rPr>
        <w:t>sovraperformare nel</w:t>
      </w:r>
      <w:r>
        <w:rPr>
          <w:rFonts w:ascii="Arial" w:hAnsi="Arial"/>
          <w:i/>
          <w:sz w:val="18"/>
          <w:szCs w:val="18"/>
        </w:rPr>
        <w:t xml:space="preserve"> mercato pubblicitario globale e rafforzare la nostra posizione di leadership nel mercato della pubblicità esterna tramite la conquista di quote di mercato redditizie. La solidità del nostro bilancio costituisce un vantaggio chiave che ci permetterà di continuare a cogliere le opportunità di crescita</w:t>
      </w:r>
      <w:r w:rsidR="0053030E">
        <w:rPr>
          <w:rFonts w:ascii="Arial" w:hAnsi="Arial"/>
          <w:i/>
          <w:sz w:val="18"/>
          <w:szCs w:val="18"/>
        </w:rPr>
        <w:t xml:space="preserve"> esterne che si presenteranno</w:t>
      </w:r>
      <w:r>
        <w:rPr>
          <w:rFonts w:ascii="Arial" w:hAnsi="Arial"/>
          <w:i/>
          <w:sz w:val="18"/>
          <w:szCs w:val="18"/>
        </w:rPr>
        <w:t xml:space="preserve"> e di investire in modo significativo nella tecnologia digitale.“</w:t>
      </w:r>
    </w:p>
    <w:p w14:paraId="0E6975BC" w14:textId="77777777" w:rsidR="00FF6898" w:rsidRPr="00D14232" w:rsidRDefault="00FF6898">
      <w:pPr>
        <w:rPr>
          <w:rFonts w:ascii="Arial" w:hAnsi="Arial" w:cs="Arial"/>
          <w:sz w:val="18"/>
          <w:szCs w:val="18"/>
        </w:rPr>
      </w:pPr>
    </w:p>
    <w:p w14:paraId="7ED66A96" w14:textId="77777777" w:rsidR="00FF6898" w:rsidRPr="000277E3" w:rsidRDefault="00FF6898">
      <w:pPr>
        <w:rPr>
          <w:rFonts w:ascii="Arial" w:hAnsi="Arial" w:cs="Arial"/>
          <w:sz w:val="18"/>
          <w:szCs w:val="18"/>
        </w:rPr>
      </w:pPr>
      <w:r>
        <w:br w:type="page"/>
      </w:r>
    </w:p>
    <w:p w14:paraId="02C3ECAA" w14:textId="523D8130" w:rsidR="00A33C9C" w:rsidRPr="000277E3" w:rsidRDefault="00A33C9C" w:rsidP="00A33C9C">
      <w:pPr>
        <w:spacing w:after="60"/>
        <w:ind w:left="1134"/>
        <w:jc w:val="both"/>
        <w:rPr>
          <w:rFonts w:ascii="Arial" w:hAnsi="Arial" w:cs="Arial"/>
          <w:b/>
          <w:sz w:val="18"/>
          <w:szCs w:val="18"/>
          <w:u w:val="single"/>
        </w:rPr>
      </w:pPr>
      <w:r>
        <w:rPr>
          <w:rFonts w:ascii="Arial" w:hAnsi="Arial"/>
          <w:b/>
          <w:sz w:val="18"/>
          <w:szCs w:val="18"/>
          <w:u w:val="single"/>
        </w:rPr>
        <w:t>FATTURATO RIDETERMINATO</w:t>
      </w:r>
    </w:p>
    <w:p w14:paraId="315AE616" w14:textId="6D32D7D1" w:rsidR="00A33C9C" w:rsidRPr="000277E3" w:rsidRDefault="00A33C9C" w:rsidP="00A33C9C">
      <w:pPr>
        <w:ind w:left="1134"/>
        <w:jc w:val="both"/>
        <w:rPr>
          <w:rFonts w:ascii="Arial" w:hAnsi="Arial" w:cs="Arial"/>
          <w:sz w:val="18"/>
          <w:szCs w:val="18"/>
        </w:rPr>
      </w:pPr>
      <w:r>
        <w:rPr>
          <w:rFonts w:ascii="Arial" w:hAnsi="Arial"/>
          <w:sz w:val="18"/>
          <w:szCs w:val="18"/>
        </w:rPr>
        <w:t xml:space="preserve">Il fatturato rideterminato del primo semestre </w:t>
      </w:r>
      <w:r w:rsidR="00B313DB">
        <w:rPr>
          <w:rFonts w:ascii="Arial" w:hAnsi="Arial"/>
          <w:sz w:val="18"/>
          <w:szCs w:val="18"/>
        </w:rPr>
        <w:t xml:space="preserve">del </w:t>
      </w:r>
      <w:r>
        <w:rPr>
          <w:rFonts w:ascii="Arial" w:hAnsi="Arial"/>
          <w:sz w:val="18"/>
          <w:szCs w:val="18"/>
        </w:rPr>
        <w:t xml:space="preserve">2019 aumenta del +12,1 %, attestandosi a 1.842,3 milioni di euro, rispetto agli 1.643,3 milioni di euro del primo semestre </w:t>
      </w:r>
      <w:r w:rsidR="00AB6DBA">
        <w:rPr>
          <w:rFonts w:ascii="Arial" w:hAnsi="Arial"/>
          <w:sz w:val="18"/>
          <w:szCs w:val="18"/>
        </w:rPr>
        <w:t xml:space="preserve">del </w:t>
      </w:r>
      <w:r>
        <w:rPr>
          <w:rFonts w:ascii="Arial" w:hAnsi="Arial"/>
          <w:sz w:val="18"/>
          <w:szCs w:val="18"/>
        </w:rPr>
        <w:t xml:space="preserve">2018. Su base organica (per es. escludendo l'impatto positivo delle variazioni dei tassi di cambio e quello positivo delle variazioni </w:t>
      </w:r>
      <w:r w:rsidR="003368B5">
        <w:rPr>
          <w:rFonts w:ascii="Arial" w:hAnsi="Arial"/>
          <w:sz w:val="18"/>
          <w:szCs w:val="18"/>
        </w:rPr>
        <w:t>di perimetro</w:t>
      </w:r>
      <w:r>
        <w:rPr>
          <w:rFonts w:ascii="Arial" w:hAnsi="Arial"/>
          <w:sz w:val="18"/>
          <w:szCs w:val="18"/>
        </w:rPr>
        <w:t>), il fatturato rideterminato è in aumento del +5,2 %. La crescita del fatturato pubblicitario organico rideterminato, esclusa la voce relativa a vendite, locazioni e contratti di manutenzione di arredo urbano e di supporti pubblicitari</w:t>
      </w:r>
      <w:r w:rsidR="003368B5">
        <w:rPr>
          <w:rFonts w:ascii="Arial" w:hAnsi="Arial"/>
          <w:sz w:val="18"/>
          <w:szCs w:val="18"/>
        </w:rPr>
        <w:t>,</w:t>
      </w:r>
      <w:r>
        <w:rPr>
          <w:rFonts w:ascii="Arial" w:hAnsi="Arial"/>
          <w:sz w:val="18"/>
          <w:szCs w:val="18"/>
        </w:rPr>
        <w:t xml:space="preserve"> è del +5,7 % nel primo semestre del 2019.</w:t>
      </w:r>
    </w:p>
    <w:p w14:paraId="0739B9E8" w14:textId="77777777" w:rsidR="00A33C9C" w:rsidRPr="00D14232" w:rsidRDefault="00A33C9C" w:rsidP="00A33C9C">
      <w:pPr>
        <w:ind w:left="1134"/>
        <w:jc w:val="both"/>
        <w:rPr>
          <w:rFonts w:ascii="Arial" w:hAnsi="Arial" w:cs="Arial"/>
          <w:sz w:val="18"/>
          <w:szCs w:val="18"/>
        </w:rPr>
      </w:pPr>
    </w:p>
    <w:p w14:paraId="4C9DB094" w14:textId="77777777" w:rsidR="00A33C9C" w:rsidRPr="000277E3" w:rsidRDefault="00A33C9C" w:rsidP="00A33C9C">
      <w:pPr>
        <w:ind w:left="1134"/>
        <w:jc w:val="both"/>
        <w:rPr>
          <w:rFonts w:ascii="Arial" w:hAnsi="Arial" w:cs="Arial"/>
          <w:sz w:val="18"/>
          <w:szCs w:val="18"/>
        </w:rPr>
      </w:pPr>
      <w:r>
        <w:rPr>
          <w:rFonts w:ascii="Arial" w:hAnsi="Arial"/>
          <w:sz w:val="18"/>
          <w:szCs w:val="18"/>
        </w:rPr>
        <w:t>Nel secondo trimestre, il fatturato rideterminato è aumentato del +11,3% attestandosi a 1.002,3 milioni di euro, vale a dire una crescita organica del +5,1% rispetto al secondo trimestre del 2018. Il fatturato pubblicitario rideterminato, esclusa la voce relativa a vendite, locazioni e contratti di manutenzione di arredo urbano e di supporti pubblicitari, è in aumento del +5,8 % in organico nel secondo trimestre del 2019.</w:t>
      </w:r>
    </w:p>
    <w:p w14:paraId="588BF98D" w14:textId="77777777" w:rsidR="00A33C9C" w:rsidRPr="00D14232" w:rsidRDefault="00A33C9C" w:rsidP="00A33C9C">
      <w:pPr>
        <w:ind w:left="1134"/>
        <w:jc w:val="both"/>
        <w:rPr>
          <w:rFonts w:ascii="Arial" w:hAnsi="Arial" w:cs="Arial"/>
          <w:sz w:val="18"/>
          <w:szCs w:val="18"/>
        </w:rPr>
      </w:pPr>
    </w:p>
    <w:p w14:paraId="0CF1839F" w14:textId="1C91EECC" w:rsidR="00A33C9C" w:rsidRPr="000277E3" w:rsidRDefault="00A33C9C" w:rsidP="00A33C9C">
      <w:pPr>
        <w:spacing w:after="60"/>
        <w:ind w:left="1134"/>
        <w:jc w:val="both"/>
        <w:rPr>
          <w:rFonts w:ascii="Arial" w:hAnsi="Arial" w:cs="Arial"/>
          <w:b/>
          <w:sz w:val="18"/>
          <w:szCs w:val="18"/>
          <w:u w:val="single"/>
        </w:rPr>
      </w:pPr>
      <w:r>
        <w:rPr>
          <w:rFonts w:ascii="Arial" w:hAnsi="Arial"/>
          <w:b/>
          <w:sz w:val="18"/>
          <w:szCs w:val="18"/>
          <w:u w:val="single"/>
        </w:rPr>
        <w:t>Fatturato rideterminato</w:t>
      </w:r>
    </w:p>
    <w:tbl>
      <w:tblPr>
        <w:tblW w:w="804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15"/>
        <w:gridCol w:w="737"/>
        <w:gridCol w:w="737"/>
        <w:gridCol w:w="737"/>
        <w:gridCol w:w="737"/>
        <w:gridCol w:w="737"/>
        <w:gridCol w:w="737"/>
        <w:gridCol w:w="737"/>
        <w:gridCol w:w="737"/>
        <w:gridCol w:w="737"/>
      </w:tblGrid>
      <w:tr w:rsidR="007C520A" w:rsidRPr="000277E3" w14:paraId="324EAA66" w14:textId="77777777" w:rsidTr="007C520A">
        <w:trPr>
          <w:trHeight w:val="301"/>
        </w:trPr>
        <w:tc>
          <w:tcPr>
            <w:tcW w:w="1415" w:type="dxa"/>
            <w:vMerge w:val="restart"/>
            <w:vAlign w:val="center"/>
          </w:tcPr>
          <w:p w14:paraId="285325BB" w14:textId="77777777" w:rsidR="007C520A" w:rsidRPr="000277E3" w:rsidRDefault="007C520A" w:rsidP="007C520A">
            <w:pPr>
              <w:ind w:left="-212"/>
              <w:jc w:val="center"/>
              <w:rPr>
                <w:rFonts w:ascii="Arial" w:hAnsi="Arial" w:cs="Arial"/>
                <w:b/>
                <w:bCs/>
                <w:sz w:val="18"/>
              </w:rPr>
            </w:pPr>
            <w:r>
              <w:rPr>
                <w:rFonts w:ascii="Arial" w:hAnsi="Arial"/>
                <w:b/>
                <w:bCs/>
                <w:sz w:val="18"/>
              </w:rPr>
              <w:t>m€</w:t>
            </w:r>
          </w:p>
        </w:tc>
        <w:tc>
          <w:tcPr>
            <w:tcW w:w="2211" w:type="dxa"/>
            <w:gridSpan w:val="3"/>
            <w:tcBorders>
              <w:right w:val="single" w:sz="12" w:space="0" w:color="auto"/>
            </w:tcBorders>
            <w:vAlign w:val="center"/>
          </w:tcPr>
          <w:p w14:paraId="18DB4EE7" w14:textId="77777777" w:rsidR="007C520A" w:rsidRPr="000277E3" w:rsidRDefault="007C520A" w:rsidP="007C520A">
            <w:pPr>
              <w:jc w:val="center"/>
              <w:rPr>
                <w:rFonts w:ascii="Arial" w:hAnsi="Arial" w:cs="Arial"/>
                <w:b/>
                <w:bCs/>
                <w:sz w:val="18"/>
              </w:rPr>
            </w:pPr>
            <w:r>
              <w:rPr>
                <w:rFonts w:ascii="Arial" w:hAnsi="Arial"/>
                <w:b/>
                <w:bCs/>
                <w:sz w:val="18"/>
              </w:rPr>
              <w:t>S1 2019</w:t>
            </w:r>
          </w:p>
        </w:tc>
        <w:tc>
          <w:tcPr>
            <w:tcW w:w="2211" w:type="dxa"/>
            <w:gridSpan w:val="3"/>
            <w:tcBorders>
              <w:top w:val="single" w:sz="4" w:space="0" w:color="auto"/>
              <w:left w:val="single" w:sz="12" w:space="0" w:color="auto"/>
              <w:bottom w:val="single" w:sz="4" w:space="0" w:color="auto"/>
              <w:right w:val="single" w:sz="12" w:space="0" w:color="auto"/>
            </w:tcBorders>
            <w:vAlign w:val="center"/>
          </w:tcPr>
          <w:p w14:paraId="306EB0D6" w14:textId="77777777" w:rsidR="007C520A" w:rsidRPr="000277E3" w:rsidRDefault="007C520A" w:rsidP="007C520A">
            <w:pPr>
              <w:jc w:val="center"/>
              <w:rPr>
                <w:rFonts w:ascii="Arial" w:hAnsi="Arial" w:cs="Arial"/>
                <w:b/>
                <w:bCs/>
                <w:sz w:val="18"/>
              </w:rPr>
            </w:pPr>
            <w:r>
              <w:rPr>
                <w:rFonts w:ascii="Arial" w:hAnsi="Arial"/>
                <w:b/>
                <w:bCs/>
                <w:sz w:val="18"/>
              </w:rPr>
              <w:t>S1 2018</w:t>
            </w:r>
          </w:p>
        </w:tc>
        <w:tc>
          <w:tcPr>
            <w:tcW w:w="2211" w:type="dxa"/>
            <w:gridSpan w:val="3"/>
            <w:tcBorders>
              <w:left w:val="single" w:sz="12" w:space="0" w:color="auto"/>
            </w:tcBorders>
            <w:vAlign w:val="center"/>
          </w:tcPr>
          <w:p w14:paraId="2182CF12" w14:textId="77777777" w:rsidR="007C520A" w:rsidRPr="000277E3" w:rsidRDefault="007C520A" w:rsidP="007C520A">
            <w:pPr>
              <w:jc w:val="center"/>
              <w:rPr>
                <w:rFonts w:ascii="Arial" w:hAnsi="Arial" w:cs="Arial"/>
                <w:b/>
                <w:bCs/>
                <w:sz w:val="18"/>
              </w:rPr>
            </w:pPr>
            <w:r>
              <w:rPr>
                <w:rFonts w:ascii="Arial" w:hAnsi="Arial"/>
                <w:b/>
                <w:sz w:val="18"/>
              </w:rPr>
              <w:t>Variazione 19/18</w:t>
            </w:r>
          </w:p>
        </w:tc>
      </w:tr>
      <w:tr w:rsidR="007C520A" w:rsidRPr="000277E3" w14:paraId="5635AE89" w14:textId="77777777" w:rsidTr="007C520A">
        <w:trPr>
          <w:trHeight w:val="348"/>
        </w:trPr>
        <w:tc>
          <w:tcPr>
            <w:tcW w:w="1415" w:type="dxa"/>
            <w:vMerge/>
            <w:vAlign w:val="center"/>
          </w:tcPr>
          <w:p w14:paraId="0EEBE220" w14:textId="77777777" w:rsidR="007C520A" w:rsidRPr="000277E3" w:rsidRDefault="007C520A" w:rsidP="007C520A">
            <w:pPr>
              <w:pStyle w:val="Titolo6"/>
              <w:numPr>
                <w:ilvl w:val="5"/>
                <w:numId w:val="0"/>
              </w:numPr>
              <w:tabs>
                <w:tab w:val="num" w:pos="6115"/>
              </w:tabs>
              <w:autoSpaceDE w:val="0"/>
              <w:autoSpaceDN w:val="0"/>
              <w:adjustRightInd w:val="0"/>
              <w:spacing w:before="40" w:after="40"/>
              <w:ind w:left="6115" w:hanging="1152"/>
              <w:jc w:val="center"/>
              <w:rPr>
                <w:rFonts w:ascii="Arial" w:hAnsi="Arial" w:cs="Arial"/>
                <w:b/>
                <w:sz w:val="18"/>
              </w:rPr>
            </w:pPr>
          </w:p>
        </w:tc>
        <w:tc>
          <w:tcPr>
            <w:tcW w:w="737" w:type="dxa"/>
            <w:vAlign w:val="center"/>
          </w:tcPr>
          <w:p w14:paraId="0A4E9BA7" w14:textId="77777777" w:rsidR="007C520A" w:rsidRPr="000277E3" w:rsidRDefault="007C520A" w:rsidP="007C520A">
            <w:pPr>
              <w:jc w:val="center"/>
              <w:rPr>
                <w:rFonts w:ascii="Arial" w:hAnsi="Arial" w:cs="Arial"/>
                <w:b/>
                <w:bCs/>
                <w:sz w:val="18"/>
              </w:rPr>
            </w:pPr>
            <w:r>
              <w:rPr>
                <w:rFonts w:ascii="Arial" w:hAnsi="Arial"/>
                <w:b/>
                <w:bCs/>
                <w:sz w:val="18"/>
              </w:rPr>
              <w:t>T1</w:t>
            </w:r>
          </w:p>
        </w:tc>
        <w:tc>
          <w:tcPr>
            <w:tcW w:w="737" w:type="dxa"/>
            <w:vAlign w:val="center"/>
          </w:tcPr>
          <w:p w14:paraId="04B607B9" w14:textId="77777777" w:rsidR="007C520A" w:rsidRPr="000277E3" w:rsidRDefault="007C520A" w:rsidP="007C520A">
            <w:pPr>
              <w:jc w:val="center"/>
              <w:rPr>
                <w:rFonts w:ascii="Arial" w:hAnsi="Arial" w:cs="Arial"/>
                <w:b/>
                <w:bCs/>
                <w:sz w:val="18"/>
              </w:rPr>
            </w:pPr>
            <w:r>
              <w:rPr>
                <w:rFonts w:ascii="Arial" w:hAnsi="Arial"/>
                <w:b/>
                <w:bCs/>
                <w:sz w:val="18"/>
              </w:rPr>
              <w:t>T2</w:t>
            </w:r>
          </w:p>
        </w:tc>
        <w:tc>
          <w:tcPr>
            <w:tcW w:w="737" w:type="dxa"/>
            <w:tcBorders>
              <w:right w:val="single" w:sz="12" w:space="0" w:color="auto"/>
            </w:tcBorders>
            <w:vAlign w:val="center"/>
          </w:tcPr>
          <w:p w14:paraId="56530492" w14:textId="77777777" w:rsidR="007C520A" w:rsidRPr="000277E3" w:rsidRDefault="007C520A" w:rsidP="007C520A">
            <w:pPr>
              <w:jc w:val="center"/>
              <w:rPr>
                <w:rFonts w:ascii="Arial" w:hAnsi="Arial" w:cs="Arial"/>
                <w:b/>
                <w:bCs/>
                <w:sz w:val="18"/>
              </w:rPr>
            </w:pPr>
            <w:r>
              <w:rPr>
                <w:rFonts w:ascii="Arial" w:hAnsi="Arial"/>
                <w:b/>
                <w:bCs/>
                <w:sz w:val="18"/>
              </w:rPr>
              <w:t>S1</w:t>
            </w:r>
          </w:p>
        </w:tc>
        <w:tc>
          <w:tcPr>
            <w:tcW w:w="737" w:type="dxa"/>
            <w:tcBorders>
              <w:top w:val="single" w:sz="4" w:space="0" w:color="auto"/>
              <w:left w:val="single" w:sz="12" w:space="0" w:color="auto"/>
              <w:bottom w:val="single" w:sz="4" w:space="0" w:color="auto"/>
              <w:right w:val="single" w:sz="4" w:space="0" w:color="auto"/>
            </w:tcBorders>
            <w:vAlign w:val="center"/>
          </w:tcPr>
          <w:p w14:paraId="49E33000" w14:textId="77777777" w:rsidR="007C520A" w:rsidRPr="000277E3" w:rsidRDefault="007C520A" w:rsidP="007C520A">
            <w:pPr>
              <w:jc w:val="center"/>
              <w:rPr>
                <w:rFonts w:ascii="Arial" w:hAnsi="Arial" w:cs="Arial"/>
                <w:b/>
                <w:bCs/>
                <w:sz w:val="18"/>
              </w:rPr>
            </w:pPr>
            <w:r>
              <w:rPr>
                <w:rFonts w:ascii="Arial" w:hAnsi="Arial"/>
                <w:b/>
                <w:bCs/>
                <w:sz w:val="18"/>
              </w:rPr>
              <w:t>T1</w:t>
            </w:r>
          </w:p>
        </w:tc>
        <w:tc>
          <w:tcPr>
            <w:tcW w:w="737" w:type="dxa"/>
            <w:tcBorders>
              <w:top w:val="single" w:sz="4" w:space="0" w:color="auto"/>
              <w:left w:val="single" w:sz="4" w:space="0" w:color="auto"/>
              <w:bottom w:val="single" w:sz="4" w:space="0" w:color="auto"/>
              <w:right w:val="single" w:sz="4" w:space="0" w:color="auto"/>
            </w:tcBorders>
            <w:vAlign w:val="center"/>
          </w:tcPr>
          <w:p w14:paraId="2BB55D79" w14:textId="77777777" w:rsidR="007C520A" w:rsidRPr="000277E3" w:rsidRDefault="007C520A" w:rsidP="007C520A">
            <w:pPr>
              <w:jc w:val="center"/>
              <w:rPr>
                <w:rFonts w:ascii="Arial" w:hAnsi="Arial" w:cs="Arial"/>
                <w:b/>
                <w:bCs/>
                <w:sz w:val="18"/>
              </w:rPr>
            </w:pPr>
            <w:r>
              <w:rPr>
                <w:rFonts w:ascii="Arial" w:hAnsi="Arial"/>
                <w:b/>
                <w:bCs/>
                <w:sz w:val="18"/>
              </w:rPr>
              <w:t>T2</w:t>
            </w:r>
          </w:p>
        </w:tc>
        <w:tc>
          <w:tcPr>
            <w:tcW w:w="737" w:type="dxa"/>
            <w:tcBorders>
              <w:top w:val="single" w:sz="4" w:space="0" w:color="auto"/>
              <w:left w:val="single" w:sz="4" w:space="0" w:color="auto"/>
              <w:bottom w:val="single" w:sz="4" w:space="0" w:color="auto"/>
              <w:right w:val="single" w:sz="12" w:space="0" w:color="auto"/>
            </w:tcBorders>
            <w:vAlign w:val="center"/>
          </w:tcPr>
          <w:p w14:paraId="67CFACE4" w14:textId="77777777" w:rsidR="007C520A" w:rsidRPr="000277E3" w:rsidRDefault="007C520A" w:rsidP="007C520A">
            <w:pPr>
              <w:jc w:val="center"/>
              <w:rPr>
                <w:rFonts w:ascii="Arial" w:hAnsi="Arial" w:cs="Arial"/>
                <w:b/>
                <w:bCs/>
                <w:sz w:val="18"/>
              </w:rPr>
            </w:pPr>
            <w:r>
              <w:rPr>
                <w:rFonts w:ascii="Arial" w:hAnsi="Arial"/>
                <w:b/>
                <w:bCs/>
                <w:sz w:val="18"/>
              </w:rPr>
              <w:t>S1</w:t>
            </w:r>
          </w:p>
        </w:tc>
        <w:tc>
          <w:tcPr>
            <w:tcW w:w="737" w:type="dxa"/>
            <w:tcBorders>
              <w:left w:val="single" w:sz="12" w:space="0" w:color="auto"/>
            </w:tcBorders>
            <w:vAlign w:val="center"/>
          </w:tcPr>
          <w:p w14:paraId="2528A10A" w14:textId="77777777" w:rsidR="007C520A" w:rsidRPr="000277E3" w:rsidRDefault="007C520A" w:rsidP="007C520A">
            <w:pPr>
              <w:jc w:val="center"/>
              <w:rPr>
                <w:rFonts w:ascii="Arial" w:hAnsi="Arial" w:cs="Arial"/>
                <w:b/>
                <w:bCs/>
                <w:sz w:val="18"/>
              </w:rPr>
            </w:pPr>
            <w:r>
              <w:rPr>
                <w:rFonts w:ascii="Arial" w:hAnsi="Arial"/>
                <w:b/>
                <w:bCs/>
                <w:sz w:val="18"/>
              </w:rPr>
              <w:t>T1</w:t>
            </w:r>
          </w:p>
        </w:tc>
        <w:tc>
          <w:tcPr>
            <w:tcW w:w="737" w:type="dxa"/>
            <w:vAlign w:val="center"/>
          </w:tcPr>
          <w:p w14:paraId="22B6B9ED" w14:textId="77777777" w:rsidR="007C520A" w:rsidRPr="000277E3" w:rsidRDefault="007C520A" w:rsidP="007C520A">
            <w:pPr>
              <w:jc w:val="center"/>
              <w:rPr>
                <w:rFonts w:ascii="Arial" w:hAnsi="Arial" w:cs="Arial"/>
                <w:b/>
                <w:bCs/>
                <w:sz w:val="18"/>
              </w:rPr>
            </w:pPr>
            <w:r>
              <w:rPr>
                <w:rFonts w:ascii="Arial" w:hAnsi="Arial"/>
                <w:b/>
                <w:bCs/>
                <w:sz w:val="18"/>
              </w:rPr>
              <w:t>T2</w:t>
            </w:r>
          </w:p>
        </w:tc>
        <w:tc>
          <w:tcPr>
            <w:tcW w:w="737" w:type="dxa"/>
            <w:vAlign w:val="center"/>
          </w:tcPr>
          <w:p w14:paraId="570782E7" w14:textId="77777777" w:rsidR="007C520A" w:rsidRPr="000277E3" w:rsidRDefault="007C520A" w:rsidP="007C520A">
            <w:pPr>
              <w:jc w:val="center"/>
              <w:rPr>
                <w:rFonts w:ascii="Arial" w:hAnsi="Arial" w:cs="Arial"/>
                <w:b/>
                <w:bCs/>
                <w:sz w:val="18"/>
              </w:rPr>
            </w:pPr>
            <w:r>
              <w:rPr>
                <w:rFonts w:ascii="Arial" w:hAnsi="Arial"/>
                <w:b/>
                <w:bCs/>
                <w:sz w:val="18"/>
              </w:rPr>
              <w:t>S1</w:t>
            </w:r>
          </w:p>
        </w:tc>
      </w:tr>
      <w:tr w:rsidR="007C520A" w:rsidRPr="000277E3" w14:paraId="654BB1F3" w14:textId="77777777" w:rsidTr="007C520A">
        <w:trPr>
          <w:trHeight w:val="287"/>
        </w:trPr>
        <w:tc>
          <w:tcPr>
            <w:tcW w:w="1415" w:type="dxa"/>
            <w:vAlign w:val="center"/>
          </w:tcPr>
          <w:p w14:paraId="647596B5" w14:textId="2582D237" w:rsidR="007C520A" w:rsidRPr="000277E3" w:rsidRDefault="007C520A" w:rsidP="007C520A">
            <w:pPr>
              <w:spacing w:before="40" w:after="40"/>
              <w:rPr>
                <w:rFonts w:ascii="Arial" w:hAnsi="Arial" w:cs="Arial"/>
                <w:sz w:val="18"/>
              </w:rPr>
            </w:pPr>
            <w:r>
              <w:rPr>
                <w:rFonts w:ascii="Arial" w:hAnsi="Arial"/>
                <w:sz w:val="18"/>
              </w:rPr>
              <w:t xml:space="preserve">Arredo </w:t>
            </w:r>
            <w:r w:rsidR="002676A6">
              <w:rPr>
                <w:rFonts w:ascii="Arial" w:hAnsi="Arial"/>
                <w:sz w:val="18"/>
              </w:rPr>
              <w:t>U</w:t>
            </w:r>
            <w:r>
              <w:rPr>
                <w:rFonts w:ascii="Arial" w:hAnsi="Arial"/>
                <w:sz w:val="18"/>
              </w:rPr>
              <w:t>rbano</w:t>
            </w:r>
          </w:p>
        </w:tc>
        <w:tc>
          <w:tcPr>
            <w:tcW w:w="737" w:type="dxa"/>
            <w:vAlign w:val="center"/>
          </w:tcPr>
          <w:p w14:paraId="0E238EE6" w14:textId="77777777" w:rsidR="007C520A" w:rsidRPr="000277E3" w:rsidRDefault="007C520A" w:rsidP="007C520A">
            <w:pPr>
              <w:jc w:val="right"/>
              <w:rPr>
                <w:rFonts w:ascii="Arial" w:hAnsi="Arial" w:cs="Arial"/>
                <w:sz w:val="18"/>
                <w:szCs w:val="18"/>
              </w:rPr>
            </w:pPr>
            <w:r>
              <w:rPr>
                <w:rFonts w:ascii="Arial" w:hAnsi="Arial"/>
                <w:sz w:val="18"/>
                <w:szCs w:val="18"/>
              </w:rPr>
              <w:t>344,3</w:t>
            </w:r>
          </w:p>
        </w:tc>
        <w:tc>
          <w:tcPr>
            <w:tcW w:w="737" w:type="dxa"/>
            <w:vAlign w:val="center"/>
          </w:tcPr>
          <w:p w14:paraId="052DCBAD" w14:textId="77777777" w:rsidR="007C520A" w:rsidRPr="000277E3" w:rsidRDefault="007C520A" w:rsidP="007C520A">
            <w:pPr>
              <w:spacing w:before="40" w:after="40"/>
              <w:jc w:val="right"/>
              <w:rPr>
                <w:rFonts w:ascii="Arial" w:hAnsi="Arial" w:cs="Arial"/>
                <w:sz w:val="18"/>
              </w:rPr>
            </w:pPr>
            <w:r>
              <w:rPr>
                <w:rFonts w:ascii="Arial" w:hAnsi="Arial"/>
                <w:sz w:val="18"/>
              </w:rPr>
              <w:t>446,3</w:t>
            </w:r>
          </w:p>
        </w:tc>
        <w:tc>
          <w:tcPr>
            <w:tcW w:w="737" w:type="dxa"/>
            <w:tcBorders>
              <w:right w:val="single" w:sz="12" w:space="0" w:color="auto"/>
            </w:tcBorders>
            <w:vAlign w:val="center"/>
          </w:tcPr>
          <w:p w14:paraId="48EB4F37" w14:textId="77777777" w:rsidR="007C520A" w:rsidRPr="000277E3" w:rsidRDefault="007C520A" w:rsidP="007C520A">
            <w:pPr>
              <w:spacing w:before="40" w:after="40"/>
              <w:jc w:val="right"/>
              <w:rPr>
                <w:rFonts w:ascii="Arial" w:hAnsi="Arial" w:cs="Arial"/>
                <w:b/>
                <w:sz w:val="18"/>
              </w:rPr>
            </w:pPr>
            <w:r>
              <w:rPr>
                <w:rFonts w:ascii="Arial" w:hAnsi="Arial"/>
                <w:b/>
                <w:sz w:val="18"/>
              </w:rPr>
              <w:t>790,6</w:t>
            </w:r>
          </w:p>
        </w:tc>
        <w:tc>
          <w:tcPr>
            <w:tcW w:w="737" w:type="dxa"/>
            <w:tcBorders>
              <w:top w:val="single" w:sz="4" w:space="0" w:color="auto"/>
              <w:left w:val="single" w:sz="12" w:space="0" w:color="auto"/>
              <w:bottom w:val="single" w:sz="4" w:space="0" w:color="auto"/>
              <w:right w:val="single" w:sz="4" w:space="0" w:color="auto"/>
            </w:tcBorders>
            <w:vAlign w:val="center"/>
          </w:tcPr>
          <w:p w14:paraId="064AC0A2" w14:textId="77777777" w:rsidR="007C520A" w:rsidRPr="000277E3" w:rsidRDefault="007C520A" w:rsidP="007C520A">
            <w:pPr>
              <w:jc w:val="right"/>
              <w:rPr>
                <w:rFonts w:ascii="Arial" w:hAnsi="Arial" w:cs="Arial"/>
                <w:sz w:val="18"/>
                <w:szCs w:val="18"/>
              </w:rPr>
            </w:pPr>
            <w:r>
              <w:rPr>
                <w:rFonts w:ascii="Arial" w:hAnsi="Arial"/>
                <w:sz w:val="18"/>
                <w:szCs w:val="18"/>
              </w:rPr>
              <w:t>337,1</w:t>
            </w:r>
          </w:p>
        </w:tc>
        <w:tc>
          <w:tcPr>
            <w:tcW w:w="737" w:type="dxa"/>
            <w:tcBorders>
              <w:top w:val="single" w:sz="4" w:space="0" w:color="auto"/>
              <w:left w:val="single" w:sz="4" w:space="0" w:color="auto"/>
              <w:bottom w:val="single" w:sz="4" w:space="0" w:color="auto"/>
              <w:right w:val="single" w:sz="4" w:space="0" w:color="auto"/>
            </w:tcBorders>
            <w:vAlign w:val="center"/>
          </w:tcPr>
          <w:p w14:paraId="7CCCBD8C" w14:textId="77777777" w:rsidR="007C520A" w:rsidRPr="000277E3" w:rsidRDefault="007C520A" w:rsidP="007C520A">
            <w:pPr>
              <w:spacing w:before="40" w:after="40"/>
              <w:jc w:val="right"/>
              <w:rPr>
                <w:rFonts w:ascii="Arial" w:hAnsi="Arial" w:cs="Arial"/>
                <w:sz w:val="18"/>
              </w:rPr>
            </w:pPr>
            <w:r>
              <w:rPr>
                <w:rFonts w:ascii="Arial" w:hAnsi="Arial"/>
                <w:sz w:val="18"/>
              </w:rPr>
              <w:t>405,6</w:t>
            </w:r>
          </w:p>
        </w:tc>
        <w:tc>
          <w:tcPr>
            <w:tcW w:w="737" w:type="dxa"/>
            <w:tcBorders>
              <w:top w:val="single" w:sz="4" w:space="0" w:color="auto"/>
              <w:left w:val="single" w:sz="4" w:space="0" w:color="auto"/>
              <w:bottom w:val="single" w:sz="4" w:space="0" w:color="auto"/>
              <w:right w:val="single" w:sz="12" w:space="0" w:color="auto"/>
            </w:tcBorders>
            <w:vAlign w:val="center"/>
          </w:tcPr>
          <w:p w14:paraId="559094A0" w14:textId="77777777" w:rsidR="007C520A" w:rsidRPr="000277E3" w:rsidRDefault="007C520A" w:rsidP="007C520A">
            <w:pPr>
              <w:spacing w:before="40" w:after="40"/>
              <w:jc w:val="right"/>
              <w:rPr>
                <w:rFonts w:ascii="Arial" w:hAnsi="Arial" w:cs="Arial"/>
                <w:b/>
                <w:sz w:val="18"/>
              </w:rPr>
            </w:pPr>
            <w:r>
              <w:rPr>
                <w:rFonts w:ascii="Arial" w:hAnsi="Arial"/>
                <w:b/>
                <w:sz w:val="18"/>
              </w:rPr>
              <w:t>742,7</w:t>
            </w:r>
          </w:p>
        </w:tc>
        <w:tc>
          <w:tcPr>
            <w:tcW w:w="737" w:type="dxa"/>
            <w:tcBorders>
              <w:left w:val="single" w:sz="12" w:space="0" w:color="auto"/>
            </w:tcBorders>
            <w:vAlign w:val="center"/>
          </w:tcPr>
          <w:p w14:paraId="26A2A634" w14:textId="77777777" w:rsidR="007C520A" w:rsidRPr="000277E3" w:rsidRDefault="007C520A" w:rsidP="007C520A">
            <w:pPr>
              <w:jc w:val="right"/>
              <w:rPr>
                <w:rFonts w:ascii="Arial" w:hAnsi="Arial" w:cs="Arial"/>
                <w:sz w:val="18"/>
                <w:szCs w:val="18"/>
              </w:rPr>
            </w:pPr>
            <w:r>
              <w:rPr>
                <w:rFonts w:ascii="Arial" w:hAnsi="Arial"/>
                <w:sz w:val="18"/>
                <w:szCs w:val="18"/>
              </w:rPr>
              <w:t>+2,1%</w:t>
            </w:r>
          </w:p>
        </w:tc>
        <w:tc>
          <w:tcPr>
            <w:tcW w:w="737" w:type="dxa"/>
            <w:vAlign w:val="center"/>
          </w:tcPr>
          <w:p w14:paraId="48CED7D5" w14:textId="77777777" w:rsidR="007C520A" w:rsidRPr="000277E3" w:rsidRDefault="007C520A" w:rsidP="007C520A">
            <w:pPr>
              <w:spacing w:before="40" w:after="40"/>
              <w:jc w:val="right"/>
              <w:rPr>
                <w:rFonts w:ascii="Arial" w:hAnsi="Arial" w:cs="Arial"/>
                <w:sz w:val="18"/>
              </w:rPr>
            </w:pPr>
            <w:r>
              <w:rPr>
                <w:rFonts w:ascii="Arial" w:hAnsi="Arial"/>
                <w:sz w:val="18"/>
              </w:rPr>
              <w:t>+10,0%</w:t>
            </w:r>
          </w:p>
        </w:tc>
        <w:tc>
          <w:tcPr>
            <w:tcW w:w="737" w:type="dxa"/>
            <w:vAlign w:val="center"/>
          </w:tcPr>
          <w:p w14:paraId="423AD009" w14:textId="77777777" w:rsidR="007C520A" w:rsidRPr="000277E3" w:rsidRDefault="007C520A" w:rsidP="007C520A">
            <w:pPr>
              <w:spacing w:before="40" w:after="40"/>
              <w:jc w:val="right"/>
              <w:rPr>
                <w:rFonts w:ascii="Arial" w:hAnsi="Arial" w:cs="Arial"/>
                <w:b/>
                <w:sz w:val="18"/>
              </w:rPr>
            </w:pPr>
            <w:r>
              <w:rPr>
                <w:rFonts w:ascii="Arial" w:hAnsi="Arial"/>
                <w:b/>
                <w:sz w:val="18"/>
              </w:rPr>
              <w:t>+6,4%</w:t>
            </w:r>
          </w:p>
        </w:tc>
      </w:tr>
      <w:tr w:rsidR="007C520A" w:rsidRPr="000277E3" w14:paraId="7CABE969" w14:textId="77777777" w:rsidTr="007C520A">
        <w:trPr>
          <w:trHeight w:val="287"/>
        </w:trPr>
        <w:tc>
          <w:tcPr>
            <w:tcW w:w="1415" w:type="dxa"/>
            <w:vAlign w:val="center"/>
          </w:tcPr>
          <w:p w14:paraId="23F69876" w14:textId="26C7541C" w:rsidR="007C520A" w:rsidRPr="000277E3" w:rsidRDefault="007C520A" w:rsidP="007C520A">
            <w:pPr>
              <w:spacing w:before="40" w:after="40"/>
              <w:rPr>
                <w:rFonts w:ascii="Arial" w:hAnsi="Arial" w:cs="Arial"/>
                <w:sz w:val="18"/>
              </w:rPr>
            </w:pPr>
            <w:r>
              <w:rPr>
                <w:rFonts w:ascii="Arial" w:hAnsi="Arial"/>
                <w:sz w:val="18"/>
              </w:rPr>
              <w:t>Trasport</w:t>
            </w:r>
            <w:r w:rsidR="004167A8">
              <w:rPr>
                <w:rFonts w:ascii="Arial" w:hAnsi="Arial"/>
                <w:sz w:val="18"/>
              </w:rPr>
              <w:t>i</w:t>
            </w:r>
          </w:p>
        </w:tc>
        <w:tc>
          <w:tcPr>
            <w:tcW w:w="737" w:type="dxa"/>
            <w:vAlign w:val="center"/>
          </w:tcPr>
          <w:p w14:paraId="4643B0E5" w14:textId="77777777" w:rsidR="007C520A" w:rsidRPr="000277E3" w:rsidRDefault="007C520A" w:rsidP="007C520A">
            <w:pPr>
              <w:jc w:val="right"/>
              <w:rPr>
                <w:rFonts w:ascii="Arial" w:hAnsi="Arial" w:cs="Arial"/>
                <w:sz w:val="18"/>
                <w:szCs w:val="18"/>
              </w:rPr>
            </w:pPr>
            <w:r>
              <w:rPr>
                <w:rFonts w:ascii="Arial" w:hAnsi="Arial"/>
                <w:sz w:val="18"/>
                <w:szCs w:val="18"/>
              </w:rPr>
              <w:t>368,0</w:t>
            </w:r>
          </w:p>
        </w:tc>
        <w:tc>
          <w:tcPr>
            <w:tcW w:w="737" w:type="dxa"/>
            <w:vAlign w:val="center"/>
          </w:tcPr>
          <w:p w14:paraId="2DE62CB7" w14:textId="77777777" w:rsidR="007C520A" w:rsidRPr="000277E3" w:rsidRDefault="007C520A" w:rsidP="007C520A">
            <w:pPr>
              <w:spacing w:before="40" w:after="40"/>
              <w:jc w:val="right"/>
              <w:rPr>
                <w:rFonts w:ascii="Arial" w:hAnsi="Arial" w:cs="Arial"/>
                <w:sz w:val="18"/>
              </w:rPr>
            </w:pPr>
            <w:r>
              <w:rPr>
                <w:rFonts w:ascii="Arial" w:hAnsi="Arial"/>
                <w:sz w:val="18"/>
              </w:rPr>
              <w:t>409,0</w:t>
            </w:r>
          </w:p>
        </w:tc>
        <w:tc>
          <w:tcPr>
            <w:tcW w:w="737" w:type="dxa"/>
            <w:tcBorders>
              <w:right w:val="single" w:sz="12" w:space="0" w:color="auto"/>
            </w:tcBorders>
            <w:vAlign w:val="center"/>
          </w:tcPr>
          <w:p w14:paraId="724E350E" w14:textId="77777777" w:rsidR="007C520A" w:rsidRPr="000277E3" w:rsidRDefault="007C520A" w:rsidP="007C520A">
            <w:pPr>
              <w:spacing w:before="40" w:after="40"/>
              <w:jc w:val="right"/>
              <w:rPr>
                <w:rFonts w:ascii="Arial" w:hAnsi="Arial" w:cs="Arial"/>
                <w:b/>
                <w:sz w:val="18"/>
              </w:rPr>
            </w:pPr>
            <w:r>
              <w:rPr>
                <w:rFonts w:ascii="Arial" w:hAnsi="Arial"/>
                <w:b/>
                <w:sz w:val="18"/>
              </w:rPr>
              <w:t>777,0</w:t>
            </w:r>
          </w:p>
        </w:tc>
        <w:tc>
          <w:tcPr>
            <w:tcW w:w="737" w:type="dxa"/>
            <w:tcBorders>
              <w:top w:val="single" w:sz="4" w:space="0" w:color="auto"/>
              <w:left w:val="single" w:sz="12" w:space="0" w:color="auto"/>
              <w:bottom w:val="single" w:sz="4" w:space="0" w:color="auto"/>
              <w:right w:val="single" w:sz="4" w:space="0" w:color="auto"/>
            </w:tcBorders>
            <w:vAlign w:val="center"/>
          </w:tcPr>
          <w:p w14:paraId="3D564C5A" w14:textId="77777777" w:rsidR="007C520A" w:rsidRPr="000277E3" w:rsidRDefault="007C520A" w:rsidP="007C520A">
            <w:pPr>
              <w:jc w:val="right"/>
              <w:rPr>
                <w:rFonts w:ascii="Arial" w:hAnsi="Arial" w:cs="Arial"/>
                <w:sz w:val="18"/>
                <w:szCs w:val="18"/>
              </w:rPr>
            </w:pPr>
            <w:r>
              <w:rPr>
                <w:rFonts w:ascii="Arial" w:hAnsi="Arial"/>
                <w:sz w:val="18"/>
                <w:szCs w:val="18"/>
              </w:rPr>
              <w:t>293,5</w:t>
            </w:r>
          </w:p>
        </w:tc>
        <w:tc>
          <w:tcPr>
            <w:tcW w:w="737" w:type="dxa"/>
            <w:tcBorders>
              <w:top w:val="single" w:sz="4" w:space="0" w:color="auto"/>
              <w:left w:val="single" w:sz="4" w:space="0" w:color="auto"/>
              <w:bottom w:val="single" w:sz="4" w:space="0" w:color="auto"/>
              <w:right w:val="single" w:sz="4" w:space="0" w:color="auto"/>
            </w:tcBorders>
            <w:vAlign w:val="center"/>
          </w:tcPr>
          <w:p w14:paraId="32BBF2AF" w14:textId="77777777" w:rsidR="007C520A" w:rsidRPr="000277E3" w:rsidRDefault="007C520A" w:rsidP="007C520A">
            <w:pPr>
              <w:spacing w:before="40" w:after="40"/>
              <w:jc w:val="right"/>
              <w:rPr>
                <w:rFonts w:ascii="Arial" w:hAnsi="Arial" w:cs="Arial"/>
                <w:sz w:val="18"/>
              </w:rPr>
            </w:pPr>
            <w:r>
              <w:rPr>
                <w:rFonts w:ascii="Arial" w:hAnsi="Arial"/>
                <w:sz w:val="18"/>
              </w:rPr>
              <w:t>365,9</w:t>
            </w:r>
          </w:p>
        </w:tc>
        <w:tc>
          <w:tcPr>
            <w:tcW w:w="737" w:type="dxa"/>
            <w:tcBorders>
              <w:top w:val="single" w:sz="4" w:space="0" w:color="auto"/>
              <w:left w:val="single" w:sz="4" w:space="0" w:color="auto"/>
              <w:bottom w:val="single" w:sz="4" w:space="0" w:color="auto"/>
              <w:right w:val="single" w:sz="12" w:space="0" w:color="auto"/>
            </w:tcBorders>
            <w:vAlign w:val="center"/>
          </w:tcPr>
          <w:p w14:paraId="6F5A032E" w14:textId="77777777" w:rsidR="007C520A" w:rsidRPr="000277E3" w:rsidRDefault="007C520A" w:rsidP="007C520A">
            <w:pPr>
              <w:spacing w:before="40" w:after="40"/>
              <w:jc w:val="right"/>
              <w:rPr>
                <w:rFonts w:ascii="Arial" w:hAnsi="Arial" w:cs="Arial"/>
                <w:b/>
                <w:sz w:val="18"/>
              </w:rPr>
            </w:pPr>
            <w:r>
              <w:rPr>
                <w:rFonts w:ascii="Arial" w:hAnsi="Arial"/>
                <w:b/>
                <w:sz w:val="18"/>
              </w:rPr>
              <w:t>659,4</w:t>
            </w:r>
          </w:p>
        </w:tc>
        <w:tc>
          <w:tcPr>
            <w:tcW w:w="737" w:type="dxa"/>
            <w:tcBorders>
              <w:left w:val="single" w:sz="12" w:space="0" w:color="auto"/>
            </w:tcBorders>
            <w:vAlign w:val="center"/>
          </w:tcPr>
          <w:p w14:paraId="6B38F338" w14:textId="77777777" w:rsidR="007C520A" w:rsidRPr="000277E3" w:rsidRDefault="007C520A" w:rsidP="007C520A">
            <w:pPr>
              <w:jc w:val="right"/>
              <w:rPr>
                <w:rFonts w:ascii="Arial" w:hAnsi="Arial" w:cs="Arial"/>
                <w:sz w:val="18"/>
                <w:szCs w:val="18"/>
              </w:rPr>
            </w:pPr>
            <w:r>
              <w:rPr>
                <w:rFonts w:ascii="Arial" w:hAnsi="Arial"/>
                <w:sz w:val="18"/>
                <w:szCs w:val="18"/>
              </w:rPr>
              <w:t>+25,4%</w:t>
            </w:r>
          </w:p>
        </w:tc>
        <w:tc>
          <w:tcPr>
            <w:tcW w:w="737" w:type="dxa"/>
            <w:vAlign w:val="center"/>
          </w:tcPr>
          <w:p w14:paraId="02D7A0C3" w14:textId="77777777" w:rsidR="007C520A" w:rsidRPr="000277E3" w:rsidRDefault="007C520A" w:rsidP="007C520A">
            <w:pPr>
              <w:spacing w:before="40" w:after="40"/>
              <w:jc w:val="right"/>
              <w:rPr>
                <w:rFonts w:ascii="Arial" w:hAnsi="Arial" w:cs="Arial"/>
                <w:sz w:val="18"/>
              </w:rPr>
            </w:pPr>
            <w:r>
              <w:rPr>
                <w:rFonts w:ascii="Arial" w:hAnsi="Arial"/>
                <w:sz w:val="18"/>
              </w:rPr>
              <w:t>+11,8%</w:t>
            </w:r>
          </w:p>
        </w:tc>
        <w:tc>
          <w:tcPr>
            <w:tcW w:w="737" w:type="dxa"/>
            <w:vAlign w:val="center"/>
          </w:tcPr>
          <w:p w14:paraId="253EFE3B" w14:textId="77777777" w:rsidR="007C520A" w:rsidRPr="000277E3" w:rsidRDefault="007C520A" w:rsidP="007C520A">
            <w:pPr>
              <w:spacing w:before="40" w:after="40"/>
              <w:jc w:val="right"/>
              <w:rPr>
                <w:rFonts w:ascii="Arial" w:hAnsi="Arial" w:cs="Arial"/>
                <w:b/>
                <w:sz w:val="18"/>
              </w:rPr>
            </w:pPr>
            <w:r>
              <w:rPr>
                <w:rFonts w:ascii="Arial" w:hAnsi="Arial"/>
                <w:b/>
                <w:sz w:val="18"/>
              </w:rPr>
              <w:t>+17,8%</w:t>
            </w:r>
          </w:p>
        </w:tc>
      </w:tr>
      <w:tr w:rsidR="007C520A" w:rsidRPr="000277E3" w14:paraId="415D1BA9" w14:textId="77777777" w:rsidTr="007C520A">
        <w:trPr>
          <w:trHeight w:val="287"/>
        </w:trPr>
        <w:tc>
          <w:tcPr>
            <w:tcW w:w="1415" w:type="dxa"/>
            <w:vAlign w:val="center"/>
          </w:tcPr>
          <w:p w14:paraId="6A265907" w14:textId="26E56817" w:rsidR="007C520A" w:rsidRPr="000277E3" w:rsidRDefault="003368B5" w:rsidP="007C520A">
            <w:pPr>
              <w:spacing w:before="40" w:after="40"/>
              <w:rPr>
                <w:rFonts w:ascii="Arial" w:hAnsi="Arial" w:cs="Arial"/>
                <w:sz w:val="18"/>
              </w:rPr>
            </w:pPr>
            <w:r>
              <w:rPr>
                <w:rFonts w:ascii="Arial" w:hAnsi="Arial"/>
                <w:sz w:val="18"/>
              </w:rPr>
              <w:t>Affissione</w:t>
            </w:r>
          </w:p>
        </w:tc>
        <w:tc>
          <w:tcPr>
            <w:tcW w:w="737" w:type="dxa"/>
            <w:vAlign w:val="center"/>
          </w:tcPr>
          <w:p w14:paraId="5C32535C" w14:textId="77777777" w:rsidR="007C520A" w:rsidRPr="000277E3" w:rsidRDefault="007C520A" w:rsidP="007C520A">
            <w:pPr>
              <w:jc w:val="right"/>
              <w:rPr>
                <w:rFonts w:ascii="Arial" w:hAnsi="Arial" w:cs="Arial"/>
                <w:sz w:val="18"/>
                <w:szCs w:val="18"/>
              </w:rPr>
            </w:pPr>
            <w:r>
              <w:rPr>
                <w:rFonts w:ascii="Arial" w:hAnsi="Arial"/>
                <w:sz w:val="18"/>
                <w:szCs w:val="18"/>
              </w:rPr>
              <w:t>127,7</w:t>
            </w:r>
          </w:p>
        </w:tc>
        <w:tc>
          <w:tcPr>
            <w:tcW w:w="737" w:type="dxa"/>
            <w:vAlign w:val="center"/>
          </w:tcPr>
          <w:p w14:paraId="11B4C6E4" w14:textId="77777777" w:rsidR="007C520A" w:rsidRPr="000277E3" w:rsidRDefault="007C520A" w:rsidP="007C520A">
            <w:pPr>
              <w:spacing w:before="40" w:after="40"/>
              <w:jc w:val="right"/>
              <w:rPr>
                <w:rFonts w:ascii="Arial" w:hAnsi="Arial" w:cs="Arial"/>
                <w:sz w:val="18"/>
              </w:rPr>
            </w:pPr>
            <w:r>
              <w:rPr>
                <w:rFonts w:ascii="Arial" w:hAnsi="Arial"/>
                <w:sz w:val="18"/>
              </w:rPr>
              <w:t>147,0</w:t>
            </w:r>
          </w:p>
        </w:tc>
        <w:tc>
          <w:tcPr>
            <w:tcW w:w="737" w:type="dxa"/>
            <w:tcBorders>
              <w:right w:val="single" w:sz="12" w:space="0" w:color="auto"/>
            </w:tcBorders>
            <w:vAlign w:val="center"/>
          </w:tcPr>
          <w:p w14:paraId="5F3EE3D4" w14:textId="77777777" w:rsidR="007C520A" w:rsidRPr="000277E3" w:rsidRDefault="007C520A" w:rsidP="007C520A">
            <w:pPr>
              <w:spacing w:before="40" w:after="40"/>
              <w:jc w:val="right"/>
              <w:rPr>
                <w:rFonts w:ascii="Arial" w:hAnsi="Arial" w:cs="Arial"/>
                <w:b/>
                <w:sz w:val="18"/>
              </w:rPr>
            </w:pPr>
            <w:r>
              <w:rPr>
                <w:rFonts w:ascii="Arial" w:hAnsi="Arial"/>
                <w:b/>
                <w:sz w:val="18"/>
              </w:rPr>
              <w:t>274,7</w:t>
            </w:r>
          </w:p>
        </w:tc>
        <w:tc>
          <w:tcPr>
            <w:tcW w:w="737" w:type="dxa"/>
            <w:tcBorders>
              <w:top w:val="single" w:sz="4" w:space="0" w:color="auto"/>
              <w:left w:val="single" w:sz="12" w:space="0" w:color="auto"/>
              <w:bottom w:val="single" w:sz="4" w:space="0" w:color="auto"/>
              <w:right w:val="single" w:sz="4" w:space="0" w:color="auto"/>
            </w:tcBorders>
            <w:vAlign w:val="center"/>
          </w:tcPr>
          <w:p w14:paraId="0AB73567" w14:textId="77777777" w:rsidR="007C520A" w:rsidRPr="000277E3" w:rsidRDefault="007C520A" w:rsidP="007C520A">
            <w:pPr>
              <w:jc w:val="right"/>
              <w:rPr>
                <w:rFonts w:ascii="Arial" w:hAnsi="Arial" w:cs="Arial"/>
                <w:sz w:val="18"/>
                <w:szCs w:val="18"/>
              </w:rPr>
            </w:pPr>
            <w:r>
              <w:rPr>
                <w:rFonts w:ascii="Arial" w:hAnsi="Arial"/>
                <w:sz w:val="18"/>
                <w:szCs w:val="18"/>
              </w:rPr>
              <w:t>111,9</w:t>
            </w:r>
          </w:p>
        </w:tc>
        <w:tc>
          <w:tcPr>
            <w:tcW w:w="737" w:type="dxa"/>
            <w:tcBorders>
              <w:top w:val="single" w:sz="4" w:space="0" w:color="auto"/>
              <w:left w:val="single" w:sz="4" w:space="0" w:color="auto"/>
              <w:bottom w:val="single" w:sz="4" w:space="0" w:color="auto"/>
              <w:right w:val="single" w:sz="4" w:space="0" w:color="auto"/>
            </w:tcBorders>
            <w:vAlign w:val="center"/>
          </w:tcPr>
          <w:p w14:paraId="31886DC9" w14:textId="77777777" w:rsidR="007C520A" w:rsidRPr="000277E3" w:rsidRDefault="007C520A" w:rsidP="007C520A">
            <w:pPr>
              <w:spacing w:before="40" w:after="40"/>
              <w:jc w:val="right"/>
              <w:rPr>
                <w:rFonts w:ascii="Arial" w:hAnsi="Arial" w:cs="Arial"/>
                <w:sz w:val="18"/>
              </w:rPr>
            </w:pPr>
            <w:r>
              <w:rPr>
                <w:rFonts w:ascii="Arial" w:hAnsi="Arial"/>
                <w:sz w:val="18"/>
              </w:rPr>
              <w:t>129,3</w:t>
            </w:r>
          </w:p>
        </w:tc>
        <w:tc>
          <w:tcPr>
            <w:tcW w:w="737" w:type="dxa"/>
            <w:tcBorders>
              <w:top w:val="single" w:sz="4" w:space="0" w:color="auto"/>
              <w:left w:val="single" w:sz="4" w:space="0" w:color="auto"/>
              <w:bottom w:val="single" w:sz="4" w:space="0" w:color="auto"/>
              <w:right w:val="single" w:sz="12" w:space="0" w:color="auto"/>
            </w:tcBorders>
            <w:vAlign w:val="center"/>
          </w:tcPr>
          <w:p w14:paraId="59E888CA" w14:textId="77777777" w:rsidR="007C520A" w:rsidRPr="000277E3" w:rsidRDefault="007C520A" w:rsidP="007C520A">
            <w:pPr>
              <w:spacing w:before="40" w:after="40"/>
              <w:jc w:val="right"/>
              <w:rPr>
                <w:rFonts w:ascii="Arial" w:hAnsi="Arial" w:cs="Arial"/>
                <w:b/>
                <w:sz w:val="18"/>
              </w:rPr>
            </w:pPr>
            <w:r>
              <w:rPr>
                <w:rFonts w:ascii="Arial" w:hAnsi="Arial"/>
                <w:b/>
                <w:sz w:val="18"/>
              </w:rPr>
              <w:t>241,2</w:t>
            </w:r>
          </w:p>
        </w:tc>
        <w:tc>
          <w:tcPr>
            <w:tcW w:w="737" w:type="dxa"/>
            <w:tcBorders>
              <w:left w:val="single" w:sz="12" w:space="0" w:color="auto"/>
            </w:tcBorders>
            <w:vAlign w:val="center"/>
          </w:tcPr>
          <w:p w14:paraId="48D4A63E" w14:textId="77777777" w:rsidR="007C520A" w:rsidRPr="000277E3" w:rsidRDefault="007C520A" w:rsidP="007C520A">
            <w:pPr>
              <w:jc w:val="right"/>
              <w:rPr>
                <w:rFonts w:ascii="Arial" w:hAnsi="Arial" w:cs="Arial"/>
                <w:sz w:val="18"/>
                <w:szCs w:val="18"/>
              </w:rPr>
            </w:pPr>
            <w:r>
              <w:rPr>
                <w:rFonts w:ascii="Arial" w:hAnsi="Arial"/>
                <w:sz w:val="18"/>
                <w:szCs w:val="18"/>
              </w:rPr>
              <w:t>+14,1%</w:t>
            </w:r>
          </w:p>
        </w:tc>
        <w:tc>
          <w:tcPr>
            <w:tcW w:w="737" w:type="dxa"/>
            <w:vAlign w:val="center"/>
          </w:tcPr>
          <w:p w14:paraId="20FA71D7" w14:textId="77777777" w:rsidR="007C520A" w:rsidRPr="000277E3" w:rsidRDefault="007C520A" w:rsidP="007C520A">
            <w:pPr>
              <w:spacing w:before="40" w:after="40"/>
              <w:jc w:val="right"/>
              <w:rPr>
                <w:rFonts w:ascii="Arial" w:hAnsi="Arial" w:cs="Arial"/>
                <w:sz w:val="18"/>
              </w:rPr>
            </w:pPr>
            <w:r>
              <w:rPr>
                <w:rFonts w:ascii="Arial" w:hAnsi="Arial"/>
                <w:sz w:val="18"/>
              </w:rPr>
              <w:t>+13,7%</w:t>
            </w:r>
          </w:p>
        </w:tc>
        <w:tc>
          <w:tcPr>
            <w:tcW w:w="737" w:type="dxa"/>
            <w:vAlign w:val="center"/>
          </w:tcPr>
          <w:p w14:paraId="42EE0C5D" w14:textId="77777777" w:rsidR="007C520A" w:rsidRPr="000277E3" w:rsidRDefault="007C520A" w:rsidP="007C520A">
            <w:pPr>
              <w:spacing w:before="40" w:after="40"/>
              <w:jc w:val="right"/>
              <w:rPr>
                <w:rFonts w:ascii="Arial" w:hAnsi="Arial" w:cs="Arial"/>
                <w:b/>
                <w:sz w:val="18"/>
              </w:rPr>
            </w:pPr>
            <w:r>
              <w:rPr>
                <w:rFonts w:ascii="Arial" w:hAnsi="Arial"/>
                <w:b/>
                <w:sz w:val="18"/>
              </w:rPr>
              <w:t>+13,9%</w:t>
            </w:r>
          </w:p>
        </w:tc>
      </w:tr>
      <w:tr w:rsidR="007C520A" w:rsidRPr="000277E3" w14:paraId="33888427" w14:textId="77777777" w:rsidTr="007C520A">
        <w:trPr>
          <w:trHeight w:val="287"/>
        </w:trPr>
        <w:tc>
          <w:tcPr>
            <w:tcW w:w="1415" w:type="dxa"/>
            <w:vAlign w:val="center"/>
          </w:tcPr>
          <w:p w14:paraId="2BFAEE00" w14:textId="77777777" w:rsidR="007C520A" w:rsidRPr="000277E3" w:rsidRDefault="007C520A" w:rsidP="007C520A">
            <w:pPr>
              <w:spacing w:before="40" w:after="40"/>
              <w:rPr>
                <w:rFonts w:ascii="Arial" w:hAnsi="Arial" w:cs="Arial"/>
                <w:b/>
                <w:sz w:val="18"/>
              </w:rPr>
            </w:pPr>
            <w:r>
              <w:rPr>
                <w:rFonts w:ascii="Arial" w:hAnsi="Arial"/>
                <w:b/>
                <w:sz w:val="18"/>
              </w:rPr>
              <w:t>Totale</w:t>
            </w:r>
          </w:p>
        </w:tc>
        <w:tc>
          <w:tcPr>
            <w:tcW w:w="737" w:type="dxa"/>
            <w:vAlign w:val="center"/>
          </w:tcPr>
          <w:p w14:paraId="5489340A" w14:textId="77777777" w:rsidR="007C520A" w:rsidRPr="000277E3" w:rsidRDefault="007C520A" w:rsidP="007C520A">
            <w:pPr>
              <w:jc w:val="right"/>
              <w:rPr>
                <w:rFonts w:ascii="Arial" w:hAnsi="Arial" w:cs="Arial"/>
                <w:b/>
                <w:sz w:val="18"/>
                <w:szCs w:val="18"/>
              </w:rPr>
            </w:pPr>
            <w:r>
              <w:rPr>
                <w:rFonts w:ascii="Arial" w:hAnsi="Arial"/>
                <w:b/>
                <w:sz w:val="18"/>
                <w:szCs w:val="18"/>
              </w:rPr>
              <w:t>840,0</w:t>
            </w:r>
          </w:p>
        </w:tc>
        <w:tc>
          <w:tcPr>
            <w:tcW w:w="737" w:type="dxa"/>
            <w:vAlign w:val="center"/>
          </w:tcPr>
          <w:p w14:paraId="2E9E4CC2" w14:textId="77777777" w:rsidR="007C520A" w:rsidRPr="000277E3" w:rsidRDefault="007C520A" w:rsidP="007C520A">
            <w:pPr>
              <w:spacing w:before="40" w:after="40"/>
              <w:jc w:val="right"/>
              <w:rPr>
                <w:rFonts w:ascii="Arial" w:hAnsi="Arial" w:cs="Arial"/>
                <w:b/>
                <w:sz w:val="18"/>
              </w:rPr>
            </w:pPr>
            <w:r>
              <w:rPr>
                <w:rFonts w:ascii="Arial" w:hAnsi="Arial"/>
                <w:b/>
                <w:sz w:val="18"/>
              </w:rPr>
              <w:t>1.002,3</w:t>
            </w:r>
          </w:p>
        </w:tc>
        <w:tc>
          <w:tcPr>
            <w:tcW w:w="737" w:type="dxa"/>
            <w:tcBorders>
              <w:right w:val="single" w:sz="12" w:space="0" w:color="auto"/>
            </w:tcBorders>
            <w:vAlign w:val="center"/>
          </w:tcPr>
          <w:p w14:paraId="09F38240" w14:textId="77777777" w:rsidR="007C520A" w:rsidRPr="000277E3" w:rsidRDefault="007C520A" w:rsidP="007C520A">
            <w:pPr>
              <w:spacing w:before="40" w:after="40"/>
              <w:jc w:val="right"/>
              <w:rPr>
                <w:rFonts w:ascii="Arial" w:hAnsi="Arial" w:cs="Arial"/>
                <w:b/>
                <w:sz w:val="18"/>
              </w:rPr>
            </w:pPr>
            <w:r>
              <w:rPr>
                <w:rFonts w:ascii="Arial" w:hAnsi="Arial"/>
                <w:b/>
                <w:sz w:val="18"/>
              </w:rPr>
              <w:t>1.842,3</w:t>
            </w:r>
          </w:p>
        </w:tc>
        <w:tc>
          <w:tcPr>
            <w:tcW w:w="737" w:type="dxa"/>
            <w:tcBorders>
              <w:top w:val="single" w:sz="4" w:space="0" w:color="auto"/>
              <w:left w:val="single" w:sz="12" w:space="0" w:color="auto"/>
              <w:bottom w:val="single" w:sz="4" w:space="0" w:color="auto"/>
              <w:right w:val="single" w:sz="4" w:space="0" w:color="auto"/>
            </w:tcBorders>
            <w:vAlign w:val="center"/>
          </w:tcPr>
          <w:p w14:paraId="5DD88792" w14:textId="77777777" w:rsidR="007C520A" w:rsidRPr="000277E3" w:rsidRDefault="007C520A" w:rsidP="007C520A">
            <w:pPr>
              <w:jc w:val="right"/>
              <w:rPr>
                <w:rFonts w:ascii="Arial" w:hAnsi="Arial" w:cs="Arial"/>
                <w:b/>
                <w:sz w:val="18"/>
                <w:szCs w:val="18"/>
              </w:rPr>
            </w:pPr>
            <w:r>
              <w:rPr>
                <w:rFonts w:ascii="Arial" w:hAnsi="Arial"/>
                <w:b/>
                <w:sz w:val="18"/>
                <w:szCs w:val="18"/>
              </w:rPr>
              <w:t>742,5</w:t>
            </w:r>
          </w:p>
        </w:tc>
        <w:tc>
          <w:tcPr>
            <w:tcW w:w="737" w:type="dxa"/>
            <w:tcBorders>
              <w:top w:val="single" w:sz="4" w:space="0" w:color="auto"/>
              <w:left w:val="single" w:sz="4" w:space="0" w:color="auto"/>
              <w:bottom w:val="single" w:sz="4" w:space="0" w:color="auto"/>
              <w:right w:val="single" w:sz="4" w:space="0" w:color="auto"/>
            </w:tcBorders>
            <w:vAlign w:val="center"/>
          </w:tcPr>
          <w:p w14:paraId="56D5E054" w14:textId="77777777" w:rsidR="007C520A" w:rsidRPr="000277E3" w:rsidRDefault="007C520A" w:rsidP="007C520A">
            <w:pPr>
              <w:spacing w:before="40" w:after="40"/>
              <w:jc w:val="right"/>
              <w:rPr>
                <w:rFonts w:ascii="Arial" w:hAnsi="Arial" w:cs="Arial"/>
                <w:b/>
                <w:sz w:val="18"/>
              </w:rPr>
            </w:pPr>
            <w:r>
              <w:rPr>
                <w:rFonts w:ascii="Arial" w:hAnsi="Arial"/>
                <w:b/>
                <w:sz w:val="18"/>
              </w:rPr>
              <w:t>900,8</w:t>
            </w:r>
          </w:p>
        </w:tc>
        <w:tc>
          <w:tcPr>
            <w:tcW w:w="737" w:type="dxa"/>
            <w:tcBorders>
              <w:top w:val="single" w:sz="4" w:space="0" w:color="auto"/>
              <w:left w:val="single" w:sz="4" w:space="0" w:color="auto"/>
              <w:bottom w:val="single" w:sz="4" w:space="0" w:color="auto"/>
              <w:right w:val="single" w:sz="12" w:space="0" w:color="auto"/>
            </w:tcBorders>
            <w:vAlign w:val="center"/>
          </w:tcPr>
          <w:p w14:paraId="660BCCC2" w14:textId="77777777" w:rsidR="007C520A" w:rsidRPr="000277E3" w:rsidRDefault="007C520A" w:rsidP="007C520A">
            <w:pPr>
              <w:spacing w:before="40" w:after="40"/>
              <w:jc w:val="right"/>
              <w:rPr>
                <w:rFonts w:ascii="Arial" w:hAnsi="Arial" w:cs="Arial"/>
                <w:b/>
                <w:sz w:val="18"/>
              </w:rPr>
            </w:pPr>
            <w:r>
              <w:rPr>
                <w:rFonts w:ascii="Arial" w:hAnsi="Arial"/>
                <w:b/>
                <w:sz w:val="18"/>
              </w:rPr>
              <w:t>1.643,3</w:t>
            </w:r>
          </w:p>
        </w:tc>
        <w:tc>
          <w:tcPr>
            <w:tcW w:w="737" w:type="dxa"/>
            <w:tcBorders>
              <w:left w:val="single" w:sz="12" w:space="0" w:color="auto"/>
            </w:tcBorders>
            <w:vAlign w:val="center"/>
          </w:tcPr>
          <w:p w14:paraId="6DBB0AF0" w14:textId="77777777" w:rsidR="007C520A" w:rsidRPr="000277E3" w:rsidRDefault="007C520A" w:rsidP="007C520A">
            <w:pPr>
              <w:jc w:val="right"/>
              <w:rPr>
                <w:rFonts w:ascii="Arial" w:hAnsi="Arial" w:cs="Arial"/>
                <w:b/>
                <w:bCs/>
                <w:sz w:val="18"/>
                <w:szCs w:val="18"/>
              </w:rPr>
            </w:pPr>
            <w:r>
              <w:rPr>
                <w:rFonts w:ascii="Arial" w:hAnsi="Arial"/>
                <w:b/>
                <w:bCs/>
                <w:sz w:val="18"/>
                <w:szCs w:val="18"/>
              </w:rPr>
              <w:t>+13,1%</w:t>
            </w:r>
          </w:p>
        </w:tc>
        <w:tc>
          <w:tcPr>
            <w:tcW w:w="737" w:type="dxa"/>
            <w:vAlign w:val="center"/>
          </w:tcPr>
          <w:p w14:paraId="3B9F7892" w14:textId="77777777" w:rsidR="007C520A" w:rsidRPr="000277E3" w:rsidRDefault="007C520A" w:rsidP="007C520A">
            <w:pPr>
              <w:tabs>
                <w:tab w:val="left" w:pos="421"/>
              </w:tabs>
              <w:spacing w:before="40" w:after="40"/>
              <w:jc w:val="right"/>
              <w:rPr>
                <w:rFonts w:ascii="Arial" w:hAnsi="Arial" w:cs="Arial"/>
                <w:b/>
                <w:sz w:val="18"/>
              </w:rPr>
            </w:pPr>
            <w:r>
              <w:rPr>
                <w:rFonts w:ascii="Arial" w:hAnsi="Arial"/>
                <w:b/>
                <w:sz w:val="18"/>
              </w:rPr>
              <w:t>+11,3%</w:t>
            </w:r>
          </w:p>
        </w:tc>
        <w:tc>
          <w:tcPr>
            <w:tcW w:w="737" w:type="dxa"/>
            <w:vAlign w:val="center"/>
          </w:tcPr>
          <w:p w14:paraId="6FE15BB8" w14:textId="77777777" w:rsidR="007C520A" w:rsidRPr="000277E3" w:rsidRDefault="007C520A" w:rsidP="007C520A">
            <w:pPr>
              <w:spacing w:before="40" w:after="40"/>
              <w:jc w:val="right"/>
              <w:rPr>
                <w:rFonts w:ascii="Arial" w:hAnsi="Arial" w:cs="Arial"/>
                <w:b/>
                <w:sz w:val="18"/>
              </w:rPr>
            </w:pPr>
            <w:r>
              <w:rPr>
                <w:rFonts w:ascii="Arial" w:hAnsi="Arial"/>
                <w:b/>
                <w:sz w:val="18"/>
              </w:rPr>
              <w:t>+12,1%</w:t>
            </w:r>
          </w:p>
        </w:tc>
      </w:tr>
    </w:tbl>
    <w:p w14:paraId="17428BA3" w14:textId="77777777" w:rsidR="00A33C9C" w:rsidRPr="000277E3" w:rsidRDefault="00A33C9C" w:rsidP="00A33C9C">
      <w:pPr>
        <w:ind w:left="1134"/>
        <w:jc w:val="both"/>
        <w:rPr>
          <w:rFonts w:ascii="Arial" w:hAnsi="Arial" w:cs="Arial"/>
          <w:sz w:val="18"/>
          <w:szCs w:val="18"/>
          <w:lang w:val="fr-FR"/>
        </w:rPr>
      </w:pPr>
    </w:p>
    <w:p w14:paraId="6EF399EB" w14:textId="77777777" w:rsidR="00A33C9C" w:rsidRPr="000277E3" w:rsidRDefault="00A33C9C" w:rsidP="00A33C9C">
      <w:pPr>
        <w:spacing w:after="60"/>
        <w:ind w:left="1134"/>
        <w:jc w:val="both"/>
        <w:rPr>
          <w:rFonts w:ascii="Arial" w:hAnsi="Arial" w:cs="Arial"/>
          <w:b/>
          <w:sz w:val="18"/>
          <w:szCs w:val="18"/>
          <w:u w:val="single"/>
        </w:rPr>
      </w:pPr>
      <w:r>
        <w:rPr>
          <w:rFonts w:ascii="Arial" w:hAnsi="Arial"/>
          <w:b/>
          <w:sz w:val="18"/>
          <w:szCs w:val="18"/>
          <w:u w:val="single"/>
        </w:rPr>
        <w:t>Crescita organica del fatturato rideterminato</w:t>
      </w:r>
      <w:r>
        <w:rPr>
          <w:rFonts w:ascii="Arial" w:hAnsi="Arial"/>
          <w:b/>
          <w:sz w:val="18"/>
          <w:szCs w:val="18"/>
        </w:rPr>
        <w:t xml:space="preserve"> </w:t>
      </w:r>
      <w:r>
        <w:rPr>
          <w:rFonts w:ascii="Arial" w:hAnsi="Arial"/>
          <w:b/>
          <w:sz w:val="18"/>
          <w:szCs w:val="18"/>
          <w:vertAlign w:val="superscript"/>
        </w:rPr>
        <w:t>(a)</w:t>
      </w:r>
    </w:p>
    <w:tbl>
      <w:tblPr>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417"/>
        <w:gridCol w:w="737"/>
        <w:gridCol w:w="737"/>
        <w:gridCol w:w="737"/>
      </w:tblGrid>
      <w:tr w:rsidR="007C520A" w:rsidRPr="000277E3" w14:paraId="10FF87AF" w14:textId="77777777" w:rsidTr="007C520A">
        <w:trPr>
          <w:trHeight w:val="284"/>
        </w:trPr>
        <w:tc>
          <w:tcPr>
            <w:tcW w:w="1417" w:type="dxa"/>
            <w:vMerge w:val="restart"/>
            <w:vAlign w:val="bottom"/>
          </w:tcPr>
          <w:p w14:paraId="1264C4EF" w14:textId="77777777" w:rsidR="007C520A" w:rsidRPr="00D14232" w:rsidRDefault="007C520A" w:rsidP="007C520A">
            <w:pPr>
              <w:jc w:val="center"/>
              <w:rPr>
                <w:rFonts w:ascii="Arial" w:hAnsi="Arial" w:cs="Arial"/>
                <w:b/>
                <w:bCs/>
                <w:sz w:val="18"/>
              </w:rPr>
            </w:pPr>
          </w:p>
          <w:p w14:paraId="3EE3C257" w14:textId="77777777" w:rsidR="007C520A" w:rsidRPr="00D14232" w:rsidRDefault="007C520A" w:rsidP="007C520A">
            <w:pPr>
              <w:jc w:val="center"/>
              <w:rPr>
                <w:rFonts w:ascii="Arial" w:hAnsi="Arial" w:cs="Arial"/>
                <w:b/>
                <w:bCs/>
                <w:sz w:val="18"/>
                <w:szCs w:val="18"/>
              </w:rPr>
            </w:pPr>
          </w:p>
        </w:tc>
        <w:tc>
          <w:tcPr>
            <w:tcW w:w="2211" w:type="dxa"/>
            <w:gridSpan w:val="3"/>
            <w:vAlign w:val="center"/>
          </w:tcPr>
          <w:p w14:paraId="42A36251" w14:textId="77777777" w:rsidR="007C520A" w:rsidRPr="000277E3" w:rsidRDefault="007C520A" w:rsidP="007C520A">
            <w:pPr>
              <w:jc w:val="center"/>
              <w:rPr>
                <w:rFonts w:ascii="Arial" w:hAnsi="Arial" w:cs="Arial"/>
                <w:b/>
                <w:bCs/>
                <w:sz w:val="18"/>
                <w:szCs w:val="18"/>
              </w:rPr>
            </w:pPr>
            <w:r>
              <w:rPr>
                <w:rFonts w:ascii="Arial" w:hAnsi="Arial"/>
                <w:b/>
                <w:bCs/>
                <w:sz w:val="18"/>
                <w:szCs w:val="18"/>
              </w:rPr>
              <w:t>Variazione 19/18</w:t>
            </w:r>
          </w:p>
        </w:tc>
      </w:tr>
      <w:tr w:rsidR="007C520A" w:rsidRPr="000277E3" w14:paraId="0E32926C" w14:textId="77777777" w:rsidTr="007C520A">
        <w:trPr>
          <w:trHeight w:val="284"/>
        </w:trPr>
        <w:tc>
          <w:tcPr>
            <w:tcW w:w="1417" w:type="dxa"/>
            <w:vMerge/>
          </w:tcPr>
          <w:p w14:paraId="3604F847" w14:textId="77777777" w:rsidR="007C520A" w:rsidRPr="000277E3" w:rsidRDefault="007C520A" w:rsidP="007C520A">
            <w:pPr>
              <w:pStyle w:val="Titre61"/>
              <w:widowControl/>
              <w:numPr>
                <w:ilvl w:val="5"/>
                <w:numId w:val="18"/>
              </w:numPr>
              <w:tabs>
                <w:tab w:val="clear" w:pos="870"/>
                <w:tab w:val="clear" w:pos="4320"/>
                <w:tab w:val="num" w:pos="8951"/>
              </w:tabs>
              <w:spacing w:before="40" w:after="40"/>
              <w:ind w:left="72" w:hanging="1152"/>
              <w:jc w:val="center"/>
              <w:rPr>
                <w:rFonts w:ascii="Arial" w:hAnsi="Arial" w:cs="Arial"/>
                <w:b w:val="0"/>
                <w:bCs w:val="0"/>
                <w:sz w:val="18"/>
                <w:szCs w:val="18"/>
              </w:rPr>
            </w:pPr>
          </w:p>
        </w:tc>
        <w:tc>
          <w:tcPr>
            <w:tcW w:w="737" w:type="dxa"/>
            <w:vAlign w:val="center"/>
          </w:tcPr>
          <w:p w14:paraId="77B57C01" w14:textId="77777777" w:rsidR="007C520A" w:rsidRPr="000277E3" w:rsidRDefault="007C520A" w:rsidP="007C520A">
            <w:pPr>
              <w:jc w:val="center"/>
              <w:rPr>
                <w:rFonts w:ascii="Arial" w:hAnsi="Arial" w:cs="Arial"/>
                <w:b/>
                <w:bCs/>
                <w:sz w:val="18"/>
              </w:rPr>
            </w:pPr>
            <w:r>
              <w:rPr>
                <w:rFonts w:ascii="Arial" w:hAnsi="Arial"/>
                <w:b/>
                <w:bCs/>
                <w:sz w:val="18"/>
              </w:rPr>
              <w:t>T1</w:t>
            </w:r>
          </w:p>
        </w:tc>
        <w:tc>
          <w:tcPr>
            <w:tcW w:w="737" w:type="dxa"/>
            <w:vAlign w:val="center"/>
          </w:tcPr>
          <w:p w14:paraId="086325C2" w14:textId="77777777" w:rsidR="007C520A" w:rsidRPr="000277E3" w:rsidRDefault="007C520A" w:rsidP="007C520A">
            <w:pPr>
              <w:jc w:val="center"/>
              <w:rPr>
                <w:rFonts w:ascii="Arial" w:hAnsi="Arial" w:cs="Arial"/>
                <w:b/>
                <w:bCs/>
                <w:sz w:val="18"/>
              </w:rPr>
            </w:pPr>
            <w:r>
              <w:rPr>
                <w:rFonts w:ascii="Arial" w:hAnsi="Arial"/>
                <w:b/>
                <w:bCs/>
                <w:sz w:val="18"/>
              </w:rPr>
              <w:t>T2</w:t>
            </w:r>
          </w:p>
        </w:tc>
        <w:tc>
          <w:tcPr>
            <w:tcW w:w="737" w:type="dxa"/>
            <w:vAlign w:val="center"/>
          </w:tcPr>
          <w:p w14:paraId="5EAC2C76" w14:textId="77777777" w:rsidR="007C520A" w:rsidRPr="000277E3" w:rsidRDefault="007C520A" w:rsidP="007C520A">
            <w:pPr>
              <w:jc w:val="center"/>
              <w:rPr>
                <w:rFonts w:ascii="Arial" w:hAnsi="Arial" w:cs="Arial"/>
                <w:b/>
                <w:bCs/>
                <w:sz w:val="18"/>
                <w:szCs w:val="18"/>
              </w:rPr>
            </w:pPr>
            <w:r>
              <w:rPr>
                <w:rFonts w:ascii="Arial" w:hAnsi="Arial"/>
                <w:b/>
                <w:bCs/>
                <w:sz w:val="18"/>
                <w:szCs w:val="18"/>
              </w:rPr>
              <w:t>S1</w:t>
            </w:r>
          </w:p>
        </w:tc>
      </w:tr>
      <w:tr w:rsidR="007C520A" w:rsidRPr="000277E3" w14:paraId="04B59074" w14:textId="77777777" w:rsidTr="007C520A">
        <w:trPr>
          <w:trHeight w:val="284"/>
        </w:trPr>
        <w:tc>
          <w:tcPr>
            <w:tcW w:w="1417" w:type="dxa"/>
            <w:vAlign w:val="center"/>
          </w:tcPr>
          <w:p w14:paraId="4527EDC2" w14:textId="47F27EA1" w:rsidR="007C520A" w:rsidRPr="000277E3" w:rsidRDefault="007C520A" w:rsidP="007C520A">
            <w:pPr>
              <w:spacing w:before="40" w:after="40"/>
              <w:rPr>
                <w:rFonts w:ascii="Arial" w:hAnsi="Arial" w:cs="Arial"/>
                <w:sz w:val="18"/>
              </w:rPr>
            </w:pPr>
            <w:r>
              <w:rPr>
                <w:rFonts w:ascii="Arial" w:hAnsi="Arial"/>
                <w:sz w:val="18"/>
              </w:rPr>
              <w:t xml:space="preserve">Arredo </w:t>
            </w:r>
            <w:r w:rsidR="002676A6">
              <w:rPr>
                <w:rFonts w:ascii="Arial" w:hAnsi="Arial"/>
                <w:sz w:val="18"/>
              </w:rPr>
              <w:t>U</w:t>
            </w:r>
            <w:r>
              <w:rPr>
                <w:rFonts w:ascii="Arial" w:hAnsi="Arial"/>
                <w:sz w:val="18"/>
              </w:rPr>
              <w:t>rbano</w:t>
            </w:r>
          </w:p>
        </w:tc>
        <w:tc>
          <w:tcPr>
            <w:tcW w:w="737" w:type="dxa"/>
            <w:vAlign w:val="center"/>
          </w:tcPr>
          <w:p w14:paraId="27D911FB" w14:textId="77777777" w:rsidR="007C520A" w:rsidRPr="000277E3" w:rsidRDefault="007C520A" w:rsidP="007C520A">
            <w:pPr>
              <w:jc w:val="right"/>
              <w:rPr>
                <w:rFonts w:ascii="Arial" w:hAnsi="Arial" w:cs="Arial"/>
                <w:sz w:val="18"/>
                <w:szCs w:val="18"/>
              </w:rPr>
            </w:pPr>
            <w:r>
              <w:rPr>
                <w:rFonts w:ascii="Arial" w:hAnsi="Arial"/>
                <w:sz w:val="18"/>
                <w:szCs w:val="18"/>
              </w:rPr>
              <w:t>+0,8%</w:t>
            </w:r>
          </w:p>
        </w:tc>
        <w:tc>
          <w:tcPr>
            <w:tcW w:w="737" w:type="dxa"/>
            <w:vAlign w:val="center"/>
          </w:tcPr>
          <w:p w14:paraId="4D93903E" w14:textId="77777777" w:rsidR="007C520A" w:rsidRPr="000277E3" w:rsidRDefault="007C520A" w:rsidP="007C520A">
            <w:pPr>
              <w:spacing w:before="40" w:after="40"/>
              <w:jc w:val="right"/>
              <w:rPr>
                <w:rFonts w:ascii="Arial" w:hAnsi="Arial" w:cs="Arial"/>
                <w:sz w:val="18"/>
                <w:szCs w:val="18"/>
              </w:rPr>
            </w:pPr>
            <w:r>
              <w:rPr>
                <w:rFonts w:ascii="Arial" w:hAnsi="Arial"/>
                <w:sz w:val="18"/>
                <w:szCs w:val="18"/>
              </w:rPr>
              <w:t>+9,6%</w:t>
            </w:r>
          </w:p>
        </w:tc>
        <w:tc>
          <w:tcPr>
            <w:tcW w:w="737" w:type="dxa"/>
            <w:vAlign w:val="center"/>
          </w:tcPr>
          <w:p w14:paraId="31116DFF" w14:textId="77777777" w:rsidR="007C520A" w:rsidRPr="000277E3" w:rsidRDefault="007C520A" w:rsidP="007C520A">
            <w:pPr>
              <w:spacing w:before="40" w:after="40"/>
              <w:jc w:val="right"/>
              <w:rPr>
                <w:rFonts w:ascii="Arial" w:hAnsi="Arial" w:cs="Arial"/>
                <w:b/>
                <w:bCs/>
                <w:sz w:val="18"/>
                <w:szCs w:val="18"/>
              </w:rPr>
            </w:pPr>
            <w:r>
              <w:rPr>
                <w:rFonts w:ascii="Arial" w:hAnsi="Arial"/>
                <w:b/>
                <w:bCs/>
                <w:sz w:val="18"/>
                <w:szCs w:val="18"/>
              </w:rPr>
              <w:t>+5,6%</w:t>
            </w:r>
          </w:p>
        </w:tc>
      </w:tr>
      <w:tr w:rsidR="007C520A" w:rsidRPr="000277E3" w14:paraId="57802846" w14:textId="77777777" w:rsidTr="007C520A">
        <w:trPr>
          <w:trHeight w:val="284"/>
        </w:trPr>
        <w:tc>
          <w:tcPr>
            <w:tcW w:w="1417" w:type="dxa"/>
            <w:vAlign w:val="center"/>
          </w:tcPr>
          <w:p w14:paraId="44736A30" w14:textId="3CF0B2C4" w:rsidR="007C520A" w:rsidRPr="000277E3" w:rsidRDefault="007C520A" w:rsidP="007C520A">
            <w:pPr>
              <w:spacing w:before="40" w:after="40"/>
              <w:rPr>
                <w:rFonts w:ascii="Arial" w:hAnsi="Arial" w:cs="Arial"/>
                <w:sz w:val="18"/>
              </w:rPr>
            </w:pPr>
            <w:r>
              <w:rPr>
                <w:rFonts w:ascii="Arial" w:hAnsi="Arial"/>
                <w:sz w:val="18"/>
              </w:rPr>
              <w:t>Trasport</w:t>
            </w:r>
            <w:r w:rsidR="004167A8">
              <w:rPr>
                <w:rFonts w:ascii="Arial" w:hAnsi="Arial"/>
                <w:sz w:val="18"/>
              </w:rPr>
              <w:t>i</w:t>
            </w:r>
          </w:p>
        </w:tc>
        <w:tc>
          <w:tcPr>
            <w:tcW w:w="737" w:type="dxa"/>
            <w:vAlign w:val="center"/>
          </w:tcPr>
          <w:p w14:paraId="1ABD882F" w14:textId="77777777" w:rsidR="007C520A" w:rsidRPr="000277E3" w:rsidRDefault="007C520A" w:rsidP="007C520A">
            <w:pPr>
              <w:jc w:val="right"/>
              <w:rPr>
                <w:rFonts w:ascii="Arial" w:hAnsi="Arial" w:cs="Arial"/>
                <w:sz w:val="18"/>
                <w:szCs w:val="18"/>
              </w:rPr>
            </w:pPr>
            <w:r>
              <w:rPr>
                <w:rFonts w:ascii="Arial" w:hAnsi="Arial"/>
                <w:sz w:val="18"/>
                <w:szCs w:val="18"/>
              </w:rPr>
              <w:t>+14,5%</w:t>
            </w:r>
          </w:p>
        </w:tc>
        <w:tc>
          <w:tcPr>
            <w:tcW w:w="737" w:type="dxa"/>
            <w:vAlign w:val="center"/>
          </w:tcPr>
          <w:p w14:paraId="741E3742" w14:textId="77777777" w:rsidR="007C520A" w:rsidRPr="000277E3" w:rsidRDefault="007C520A" w:rsidP="007C520A">
            <w:pPr>
              <w:spacing w:before="40" w:after="40"/>
              <w:jc w:val="right"/>
              <w:rPr>
                <w:rFonts w:ascii="Arial" w:hAnsi="Arial" w:cs="Arial"/>
                <w:sz w:val="18"/>
                <w:szCs w:val="18"/>
              </w:rPr>
            </w:pPr>
            <w:r>
              <w:rPr>
                <w:rFonts w:ascii="Arial" w:hAnsi="Arial"/>
                <w:sz w:val="18"/>
                <w:szCs w:val="18"/>
              </w:rPr>
              <w:t>+3,0%</w:t>
            </w:r>
          </w:p>
        </w:tc>
        <w:tc>
          <w:tcPr>
            <w:tcW w:w="737" w:type="dxa"/>
            <w:vAlign w:val="center"/>
          </w:tcPr>
          <w:p w14:paraId="463AC40E" w14:textId="77777777" w:rsidR="007C520A" w:rsidRPr="000277E3" w:rsidRDefault="007C520A" w:rsidP="007C520A">
            <w:pPr>
              <w:spacing w:before="40" w:after="40"/>
              <w:jc w:val="right"/>
              <w:rPr>
                <w:rFonts w:ascii="Arial" w:hAnsi="Arial" w:cs="Arial"/>
                <w:b/>
                <w:bCs/>
                <w:sz w:val="18"/>
                <w:szCs w:val="18"/>
              </w:rPr>
            </w:pPr>
            <w:r>
              <w:rPr>
                <w:rFonts w:ascii="Arial" w:hAnsi="Arial"/>
                <w:b/>
                <w:bCs/>
                <w:sz w:val="18"/>
                <w:szCs w:val="18"/>
              </w:rPr>
              <w:t>+8,1%</w:t>
            </w:r>
          </w:p>
        </w:tc>
      </w:tr>
      <w:tr w:rsidR="007C520A" w:rsidRPr="000277E3" w14:paraId="34DCBEBB" w14:textId="77777777" w:rsidTr="007C520A">
        <w:trPr>
          <w:trHeight w:val="284"/>
        </w:trPr>
        <w:tc>
          <w:tcPr>
            <w:tcW w:w="1417" w:type="dxa"/>
            <w:vAlign w:val="center"/>
          </w:tcPr>
          <w:p w14:paraId="6A95E170" w14:textId="4A967019" w:rsidR="007C520A" w:rsidRPr="000277E3" w:rsidRDefault="003368B5" w:rsidP="007C520A">
            <w:pPr>
              <w:spacing w:before="40" w:after="40"/>
              <w:rPr>
                <w:rFonts w:ascii="Arial" w:hAnsi="Arial" w:cs="Arial"/>
                <w:sz w:val="18"/>
              </w:rPr>
            </w:pPr>
            <w:r>
              <w:rPr>
                <w:rFonts w:ascii="Arial" w:hAnsi="Arial"/>
                <w:sz w:val="18"/>
              </w:rPr>
              <w:t>Affissione</w:t>
            </w:r>
          </w:p>
        </w:tc>
        <w:tc>
          <w:tcPr>
            <w:tcW w:w="737" w:type="dxa"/>
            <w:vAlign w:val="center"/>
          </w:tcPr>
          <w:p w14:paraId="12F687FE" w14:textId="77777777" w:rsidR="007C520A" w:rsidRPr="000277E3" w:rsidRDefault="007C520A" w:rsidP="007C520A">
            <w:pPr>
              <w:jc w:val="right"/>
              <w:rPr>
                <w:rFonts w:ascii="Arial" w:hAnsi="Arial" w:cs="Arial"/>
                <w:sz w:val="18"/>
                <w:szCs w:val="18"/>
              </w:rPr>
            </w:pPr>
            <w:r>
              <w:rPr>
                <w:rFonts w:ascii="Arial" w:hAnsi="Arial"/>
                <w:sz w:val="18"/>
                <w:szCs w:val="18"/>
              </w:rPr>
              <w:t>-4,6%</w:t>
            </w:r>
          </w:p>
        </w:tc>
        <w:tc>
          <w:tcPr>
            <w:tcW w:w="737" w:type="dxa"/>
            <w:vAlign w:val="center"/>
          </w:tcPr>
          <w:p w14:paraId="16CBC9E2" w14:textId="77777777" w:rsidR="007C520A" w:rsidRPr="000277E3" w:rsidRDefault="007C520A" w:rsidP="007C520A">
            <w:pPr>
              <w:spacing w:before="40" w:after="40"/>
              <w:jc w:val="right"/>
              <w:rPr>
                <w:rFonts w:ascii="Arial" w:hAnsi="Arial" w:cs="Arial"/>
                <w:sz w:val="18"/>
                <w:szCs w:val="18"/>
              </w:rPr>
            </w:pPr>
            <w:r>
              <w:rPr>
                <w:rFonts w:ascii="Arial" w:hAnsi="Arial"/>
                <w:sz w:val="18"/>
                <w:szCs w:val="18"/>
              </w:rPr>
              <w:t>-3,1%</w:t>
            </w:r>
          </w:p>
        </w:tc>
        <w:tc>
          <w:tcPr>
            <w:tcW w:w="737" w:type="dxa"/>
            <w:vAlign w:val="center"/>
          </w:tcPr>
          <w:p w14:paraId="230C95D5" w14:textId="77777777" w:rsidR="007C520A" w:rsidRPr="000277E3" w:rsidRDefault="007C520A" w:rsidP="007C520A">
            <w:pPr>
              <w:spacing w:before="40" w:after="40"/>
              <w:jc w:val="right"/>
              <w:rPr>
                <w:rFonts w:ascii="Arial" w:hAnsi="Arial" w:cs="Arial"/>
                <w:b/>
                <w:bCs/>
                <w:sz w:val="18"/>
                <w:szCs w:val="18"/>
              </w:rPr>
            </w:pPr>
            <w:r>
              <w:rPr>
                <w:rFonts w:ascii="Arial" w:hAnsi="Arial"/>
                <w:b/>
                <w:bCs/>
                <w:sz w:val="18"/>
                <w:szCs w:val="18"/>
              </w:rPr>
              <w:t>-3,8%</w:t>
            </w:r>
          </w:p>
        </w:tc>
      </w:tr>
      <w:tr w:rsidR="007C520A" w:rsidRPr="000277E3" w14:paraId="2E7A7B28" w14:textId="77777777" w:rsidTr="007C520A">
        <w:trPr>
          <w:trHeight w:val="284"/>
        </w:trPr>
        <w:tc>
          <w:tcPr>
            <w:tcW w:w="1417" w:type="dxa"/>
            <w:vAlign w:val="center"/>
          </w:tcPr>
          <w:p w14:paraId="138DE82C" w14:textId="77777777" w:rsidR="007C520A" w:rsidRPr="000277E3" w:rsidRDefault="007C520A" w:rsidP="007C520A">
            <w:pPr>
              <w:spacing w:before="40" w:after="40"/>
              <w:rPr>
                <w:rFonts w:ascii="Arial" w:hAnsi="Arial" w:cs="Arial"/>
                <w:b/>
                <w:bCs/>
                <w:sz w:val="18"/>
                <w:szCs w:val="18"/>
              </w:rPr>
            </w:pPr>
            <w:r>
              <w:rPr>
                <w:rFonts w:ascii="Arial" w:hAnsi="Arial"/>
                <w:b/>
                <w:bCs/>
                <w:sz w:val="18"/>
                <w:szCs w:val="18"/>
              </w:rPr>
              <w:t>Totale</w:t>
            </w:r>
          </w:p>
        </w:tc>
        <w:tc>
          <w:tcPr>
            <w:tcW w:w="737" w:type="dxa"/>
            <w:vAlign w:val="center"/>
          </w:tcPr>
          <w:p w14:paraId="4610AA77" w14:textId="77777777" w:rsidR="007C520A" w:rsidRPr="000277E3" w:rsidRDefault="007C520A" w:rsidP="007C520A">
            <w:pPr>
              <w:jc w:val="right"/>
              <w:rPr>
                <w:rFonts w:ascii="Arial" w:hAnsi="Arial" w:cs="Arial"/>
                <w:b/>
                <w:bCs/>
                <w:sz w:val="18"/>
                <w:szCs w:val="18"/>
              </w:rPr>
            </w:pPr>
            <w:r>
              <w:rPr>
                <w:rFonts w:ascii="Arial" w:hAnsi="Arial"/>
                <w:b/>
                <w:bCs/>
                <w:sz w:val="18"/>
                <w:szCs w:val="18"/>
              </w:rPr>
              <w:t>+5,4%</w:t>
            </w:r>
          </w:p>
        </w:tc>
        <w:tc>
          <w:tcPr>
            <w:tcW w:w="737" w:type="dxa"/>
            <w:vAlign w:val="center"/>
          </w:tcPr>
          <w:p w14:paraId="08685FD7" w14:textId="77777777" w:rsidR="007C520A" w:rsidRPr="000277E3" w:rsidRDefault="007C520A" w:rsidP="007C520A">
            <w:pPr>
              <w:spacing w:before="40" w:after="40"/>
              <w:jc w:val="right"/>
              <w:rPr>
                <w:rFonts w:ascii="Arial" w:hAnsi="Arial" w:cs="Arial"/>
                <w:b/>
                <w:bCs/>
                <w:sz w:val="18"/>
                <w:szCs w:val="18"/>
              </w:rPr>
            </w:pPr>
            <w:r>
              <w:rPr>
                <w:rFonts w:ascii="Arial" w:hAnsi="Arial"/>
                <w:b/>
                <w:bCs/>
                <w:sz w:val="18"/>
                <w:szCs w:val="18"/>
              </w:rPr>
              <w:t>+5,1%</w:t>
            </w:r>
          </w:p>
        </w:tc>
        <w:tc>
          <w:tcPr>
            <w:tcW w:w="737" w:type="dxa"/>
            <w:vAlign w:val="center"/>
          </w:tcPr>
          <w:p w14:paraId="27316EF5" w14:textId="77777777" w:rsidR="007C520A" w:rsidRPr="000277E3" w:rsidRDefault="007C520A" w:rsidP="007C520A">
            <w:pPr>
              <w:spacing w:before="40" w:after="40"/>
              <w:jc w:val="right"/>
              <w:rPr>
                <w:rFonts w:ascii="Arial" w:hAnsi="Arial" w:cs="Arial"/>
                <w:b/>
                <w:bCs/>
                <w:sz w:val="18"/>
                <w:szCs w:val="18"/>
              </w:rPr>
            </w:pPr>
            <w:r>
              <w:rPr>
                <w:rFonts w:ascii="Arial" w:hAnsi="Arial"/>
                <w:b/>
                <w:bCs/>
                <w:sz w:val="18"/>
                <w:szCs w:val="18"/>
              </w:rPr>
              <w:t>+5,2%</w:t>
            </w:r>
          </w:p>
        </w:tc>
      </w:tr>
    </w:tbl>
    <w:p w14:paraId="2BD37251" w14:textId="77777777" w:rsidR="00A33C9C" w:rsidRPr="000277E3" w:rsidRDefault="00A33C9C" w:rsidP="00A33C9C">
      <w:pPr>
        <w:autoSpaceDE w:val="0"/>
        <w:autoSpaceDN w:val="0"/>
        <w:adjustRightInd w:val="0"/>
        <w:ind w:left="1134" w:right="-566"/>
        <w:rPr>
          <w:rFonts w:ascii="Arial" w:hAnsi="Arial" w:cs="Arial"/>
          <w:i/>
          <w:iCs/>
          <w:sz w:val="16"/>
          <w:szCs w:val="16"/>
        </w:rPr>
      </w:pPr>
      <w:r>
        <w:rPr>
          <w:rFonts w:ascii="Arial" w:hAnsi="Arial"/>
          <w:i/>
          <w:iCs/>
          <w:sz w:val="16"/>
          <w:szCs w:val="16"/>
        </w:rPr>
        <w:t>(a) A perimetro e tasso di cambio costanti</w:t>
      </w:r>
    </w:p>
    <w:p w14:paraId="69D55D86" w14:textId="77777777" w:rsidR="00A33C9C" w:rsidRPr="00D14232" w:rsidRDefault="00A33C9C" w:rsidP="00A33C9C">
      <w:pPr>
        <w:ind w:left="1134"/>
        <w:jc w:val="both"/>
        <w:rPr>
          <w:rFonts w:ascii="Arial" w:hAnsi="Arial" w:cs="Arial"/>
          <w:sz w:val="18"/>
          <w:szCs w:val="18"/>
        </w:rPr>
      </w:pPr>
    </w:p>
    <w:p w14:paraId="3971BE30" w14:textId="77777777" w:rsidR="00A33C9C" w:rsidRPr="000277E3" w:rsidRDefault="00A33C9C" w:rsidP="00A33C9C">
      <w:pPr>
        <w:spacing w:after="60"/>
        <w:ind w:left="1134"/>
        <w:jc w:val="both"/>
        <w:rPr>
          <w:rFonts w:ascii="Arial" w:hAnsi="Arial" w:cs="Arial"/>
          <w:b/>
          <w:sz w:val="18"/>
          <w:szCs w:val="18"/>
          <w:u w:val="single"/>
        </w:rPr>
      </w:pPr>
      <w:r>
        <w:rPr>
          <w:rFonts w:ascii="Arial" w:hAnsi="Arial"/>
          <w:b/>
          <w:sz w:val="18"/>
          <w:szCs w:val="18"/>
          <w:u w:val="single"/>
        </w:rPr>
        <w:t>Fatturato rideterminato per zona geografica</w:t>
      </w:r>
    </w:p>
    <w:tbl>
      <w:tblPr>
        <w:tblW w:w="804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41"/>
        <w:gridCol w:w="1587"/>
        <w:gridCol w:w="1587"/>
        <w:gridCol w:w="1417"/>
        <w:gridCol w:w="1417"/>
      </w:tblGrid>
      <w:tr w:rsidR="007C520A" w:rsidRPr="000277E3" w14:paraId="4B59D1FB" w14:textId="77777777" w:rsidTr="007C520A">
        <w:tc>
          <w:tcPr>
            <w:tcW w:w="2041" w:type="dxa"/>
            <w:vAlign w:val="center"/>
          </w:tcPr>
          <w:p w14:paraId="5B9A0F7A" w14:textId="77777777" w:rsidR="007C520A" w:rsidRPr="000277E3" w:rsidRDefault="007C520A" w:rsidP="007C520A">
            <w:pPr>
              <w:jc w:val="center"/>
              <w:rPr>
                <w:rFonts w:ascii="Arial" w:hAnsi="Arial" w:cs="Arial"/>
                <w:b/>
                <w:bCs/>
                <w:i/>
                <w:sz w:val="18"/>
                <w:szCs w:val="18"/>
              </w:rPr>
            </w:pPr>
            <w:r>
              <w:rPr>
                <w:rFonts w:ascii="Arial" w:hAnsi="Arial"/>
                <w:b/>
                <w:sz w:val="18"/>
                <w:szCs w:val="18"/>
              </w:rPr>
              <w:t>m€</w:t>
            </w:r>
          </w:p>
        </w:tc>
        <w:tc>
          <w:tcPr>
            <w:tcW w:w="1587" w:type="dxa"/>
            <w:vAlign w:val="center"/>
          </w:tcPr>
          <w:p w14:paraId="4050A592" w14:textId="77777777" w:rsidR="007C520A" w:rsidRPr="000277E3" w:rsidRDefault="007C520A" w:rsidP="007C520A">
            <w:pPr>
              <w:jc w:val="right"/>
              <w:rPr>
                <w:rFonts w:ascii="Arial" w:hAnsi="Arial" w:cs="Arial"/>
                <w:b/>
                <w:bCs/>
                <w:sz w:val="18"/>
                <w:szCs w:val="18"/>
              </w:rPr>
            </w:pPr>
            <w:r>
              <w:rPr>
                <w:rFonts w:ascii="Arial" w:hAnsi="Arial"/>
                <w:b/>
                <w:bCs/>
                <w:sz w:val="18"/>
                <w:szCs w:val="18"/>
              </w:rPr>
              <w:t>S1 2019</w:t>
            </w:r>
          </w:p>
        </w:tc>
        <w:tc>
          <w:tcPr>
            <w:tcW w:w="1587" w:type="dxa"/>
            <w:vAlign w:val="center"/>
          </w:tcPr>
          <w:p w14:paraId="70EC9B3E" w14:textId="77777777" w:rsidR="007C520A" w:rsidRPr="000277E3" w:rsidRDefault="007C520A" w:rsidP="007C520A">
            <w:pPr>
              <w:jc w:val="right"/>
              <w:rPr>
                <w:rFonts w:ascii="Arial" w:hAnsi="Arial" w:cs="Arial"/>
                <w:b/>
                <w:bCs/>
                <w:sz w:val="18"/>
                <w:szCs w:val="18"/>
              </w:rPr>
            </w:pPr>
            <w:r>
              <w:rPr>
                <w:rFonts w:ascii="Arial" w:hAnsi="Arial"/>
                <w:b/>
                <w:bCs/>
                <w:sz w:val="18"/>
                <w:szCs w:val="18"/>
              </w:rPr>
              <w:t>S1 2018</w:t>
            </w:r>
          </w:p>
        </w:tc>
        <w:tc>
          <w:tcPr>
            <w:tcW w:w="1417" w:type="dxa"/>
            <w:vAlign w:val="center"/>
          </w:tcPr>
          <w:p w14:paraId="400C851F" w14:textId="77777777" w:rsidR="007C520A" w:rsidRPr="000277E3" w:rsidRDefault="007C520A" w:rsidP="007C520A">
            <w:pPr>
              <w:jc w:val="right"/>
              <w:rPr>
                <w:rFonts w:ascii="Arial" w:hAnsi="Arial" w:cs="Arial"/>
                <w:b/>
                <w:bCs/>
                <w:sz w:val="18"/>
                <w:szCs w:val="18"/>
              </w:rPr>
            </w:pPr>
            <w:r>
              <w:rPr>
                <w:rFonts w:ascii="Arial" w:hAnsi="Arial"/>
                <w:b/>
                <w:bCs/>
                <w:sz w:val="18"/>
                <w:szCs w:val="18"/>
              </w:rPr>
              <w:t>Crescita pubblicata</w:t>
            </w:r>
          </w:p>
        </w:tc>
        <w:tc>
          <w:tcPr>
            <w:tcW w:w="1417" w:type="dxa"/>
            <w:vAlign w:val="center"/>
          </w:tcPr>
          <w:p w14:paraId="3B5BC9CF" w14:textId="77777777" w:rsidR="007C520A" w:rsidRPr="000277E3" w:rsidRDefault="007C520A" w:rsidP="007C520A">
            <w:pPr>
              <w:jc w:val="right"/>
              <w:rPr>
                <w:rFonts w:ascii="Arial" w:hAnsi="Arial" w:cs="Arial"/>
                <w:b/>
                <w:bCs/>
                <w:sz w:val="18"/>
                <w:szCs w:val="18"/>
              </w:rPr>
            </w:pPr>
            <w:r>
              <w:rPr>
                <w:rFonts w:ascii="Arial" w:hAnsi="Arial"/>
                <w:b/>
                <w:bCs/>
                <w:sz w:val="18"/>
                <w:szCs w:val="18"/>
              </w:rPr>
              <w:t>Crescita organica</w:t>
            </w:r>
            <w:r>
              <w:rPr>
                <w:rFonts w:ascii="Arial" w:hAnsi="Arial"/>
                <w:b/>
                <w:bCs/>
                <w:sz w:val="18"/>
                <w:szCs w:val="18"/>
                <w:vertAlign w:val="superscript"/>
              </w:rPr>
              <w:t>(a)</w:t>
            </w:r>
          </w:p>
        </w:tc>
      </w:tr>
      <w:tr w:rsidR="007C520A" w:rsidRPr="000277E3" w14:paraId="238B8800" w14:textId="77777777" w:rsidTr="007C520A">
        <w:trPr>
          <w:trHeight w:val="282"/>
        </w:trPr>
        <w:tc>
          <w:tcPr>
            <w:tcW w:w="2041" w:type="dxa"/>
            <w:vAlign w:val="center"/>
          </w:tcPr>
          <w:p w14:paraId="4FD96479" w14:textId="77777777" w:rsidR="007C520A" w:rsidRPr="000277E3" w:rsidRDefault="007C520A" w:rsidP="007C520A">
            <w:pPr>
              <w:ind w:right="-35"/>
              <w:rPr>
                <w:rFonts w:ascii="Arial" w:hAnsi="Arial" w:cs="Arial"/>
                <w:sz w:val="18"/>
                <w:szCs w:val="18"/>
              </w:rPr>
            </w:pPr>
            <w:r>
              <w:rPr>
                <w:rFonts w:ascii="Arial" w:hAnsi="Arial"/>
                <w:sz w:val="18"/>
                <w:szCs w:val="18"/>
              </w:rPr>
              <w:t>Asia Pacifico</w:t>
            </w:r>
          </w:p>
        </w:tc>
        <w:tc>
          <w:tcPr>
            <w:tcW w:w="1587" w:type="dxa"/>
            <w:shd w:val="clear" w:color="auto" w:fill="auto"/>
            <w:vAlign w:val="center"/>
          </w:tcPr>
          <w:p w14:paraId="61F04B13" w14:textId="77777777" w:rsidR="007C520A" w:rsidRPr="000277E3" w:rsidRDefault="007C520A" w:rsidP="007C520A">
            <w:pPr>
              <w:jc w:val="right"/>
              <w:rPr>
                <w:rFonts w:ascii="Arial" w:hAnsi="Arial" w:cs="Arial"/>
                <w:sz w:val="18"/>
                <w:szCs w:val="18"/>
              </w:rPr>
            </w:pPr>
            <w:r>
              <w:rPr>
                <w:rFonts w:ascii="Arial" w:hAnsi="Arial"/>
                <w:sz w:val="18"/>
                <w:szCs w:val="18"/>
              </w:rPr>
              <w:t>538,6</w:t>
            </w:r>
          </w:p>
        </w:tc>
        <w:tc>
          <w:tcPr>
            <w:tcW w:w="1587" w:type="dxa"/>
            <w:shd w:val="clear" w:color="auto" w:fill="auto"/>
            <w:vAlign w:val="center"/>
          </w:tcPr>
          <w:p w14:paraId="5A7CFEED" w14:textId="77777777" w:rsidR="007C520A" w:rsidRPr="000277E3" w:rsidRDefault="007C520A" w:rsidP="007C520A">
            <w:pPr>
              <w:jc w:val="right"/>
              <w:rPr>
                <w:rFonts w:ascii="Arial" w:hAnsi="Arial" w:cs="Arial"/>
                <w:sz w:val="18"/>
                <w:szCs w:val="18"/>
              </w:rPr>
            </w:pPr>
            <w:r>
              <w:rPr>
                <w:rFonts w:ascii="Arial" w:hAnsi="Arial"/>
                <w:sz w:val="18"/>
                <w:szCs w:val="18"/>
              </w:rPr>
              <w:t>400,2</w:t>
            </w:r>
          </w:p>
        </w:tc>
        <w:tc>
          <w:tcPr>
            <w:tcW w:w="1417" w:type="dxa"/>
            <w:shd w:val="clear" w:color="auto" w:fill="auto"/>
            <w:vAlign w:val="center"/>
          </w:tcPr>
          <w:p w14:paraId="084CC0F0" w14:textId="77777777" w:rsidR="007C520A" w:rsidRPr="000277E3" w:rsidRDefault="007C520A" w:rsidP="007C520A">
            <w:pPr>
              <w:jc w:val="right"/>
              <w:rPr>
                <w:rFonts w:ascii="Arial" w:hAnsi="Arial" w:cs="Arial"/>
                <w:sz w:val="18"/>
                <w:szCs w:val="18"/>
              </w:rPr>
            </w:pPr>
            <w:r>
              <w:rPr>
                <w:rFonts w:ascii="Arial" w:hAnsi="Arial"/>
                <w:sz w:val="18"/>
                <w:szCs w:val="18"/>
              </w:rPr>
              <w:t>+34,6%</w:t>
            </w:r>
          </w:p>
        </w:tc>
        <w:tc>
          <w:tcPr>
            <w:tcW w:w="1417" w:type="dxa"/>
            <w:shd w:val="clear" w:color="auto" w:fill="auto"/>
            <w:vAlign w:val="center"/>
          </w:tcPr>
          <w:p w14:paraId="03926DD0" w14:textId="77777777" w:rsidR="007C520A" w:rsidRPr="000277E3" w:rsidRDefault="007C520A" w:rsidP="007C520A">
            <w:pPr>
              <w:jc w:val="right"/>
              <w:rPr>
                <w:rFonts w:ascii="Arial" w:hAnsi="Arial" w:cs="Arial"/>
                <w:sz w:val="18"/>
                <w:szCs w:val="18"/>
              </w:rPr>
            </w:pPr>
            <w:r>
              <w:rPr>
                <w:rFonts w:ascii="Arial" w:hAnsi="Arial"/>
                <w:sz w:val="18"/>
                <w:szCs w:val="18"/>
              </w:rPr>
              <w:t>+9,5%</w:t>
            </w:r>
          </w:p>
        </w:tc>
      </w:tr>
      <w:tr w:rsidR="007C520A" w:rsidRPr="000277E3" w14:paraId="336FC21F" w14:textId="77777777" w:rsidTr="007C520A">
        <w:trPr>
          <w:trHeight w:val="288"/>
        </w:trPr>
        <w:tc>
          <w:tcPr>
            <w:tcW w:w="2041" w:type="dxa"/>
            <w:vAlign w:val="center"/>
          </w:tcPr>
          <w:p w14:paraId="3AED2DC2" w14:textId="77777777" w:rsidR="007C520A" w:rsidRPr="000277E3" w:rsidRDefault="007C520A" w:rsidP="007C520A">
            <w:pPr>
              <w:ind w:right="-35"/>
              <w:rPr>
                <w:rFonts w:ascii="Arial" w:hAnsi="Arial" w:cs="Arial"/>
                <w:sz w:val="18"/>
                <w:szCs w:val="18"/>
                <w:vertAlign w:val="superscript"/>
              </w:rPr>
            </w:pPr>
            <w:r>
              <w:rPr>
                <w:rFonts w:ascii="Arial" w:hAnsi="Arial"/>
                <w:sz w:val="18"/>
                <w:szCs w:val="18"/>
              </w:rPr>
              <w:t>Europa</w:t>
            </w:r>
            <w:r>
              <w:rPr>
                <w:rFonts w:ascii="Arial" w:hAnsi="Arial"/>
                <w:sz w:val="18"/>
                <w:szCs w:val="18"/>
                <w:vertAlign w:val="superscript"/>
              </w:rPr>
              <w:t>(b)</w:t>
            </w:r>
          </w:p>
        </w:tc>
        <w:tc>
          <w:tcPr>
            <w:tcW w:w="1587" w:type="dxa"/>
            <w:shd w:val="clear" w:color="auto" w:fill="auto"/>
            <w:vAlign w:val="center"/>
          </w:tcPr>
          <w:p w14:paraId="38014970" w14:textId="77777777" w:rsidR="007C520A" w:rsidRPr="000277E3" w:rsidRDefault="007C520A" w:rsidP="007C520A">
            <w:pPr>
              <w:jc w:val="right"/>
              <w:rPr>
                <w:rFonts w:ascii="Arial" w:hAnsi="Arial" w:cs="Arial"/>
                <w:sz w:val="18"/>
                <w:szCs w:val="18"/>
              </w:rPr>
            </w:pPr>
            <w:r>
              <w:rPr>
                <w:rFonts w:ascii="Arial" w:hAnsi="Arial"/>
                <w:sz w:val="18"/>
                <w:szCs w:val="18"/>
              </w:rPr>
              <w:t>472,9</w:t>
            </w:r>
          </w:p>
        </w:tc>
        <w:tc>
          <w:tcPr>
            <w:tcW w:w="1587" w:type="dxa"/>
            <w:shd w:val="clear" w:color="auto" w:fill="auto"/>
            <w:vAlign w:val="center"/>
          </w:tcPr>
          <w:p w14:paraId="246B1EFD" w14:textId="77777777" w:rsidR="007C520A" w:rsidRPr="000277E3" w:rsidRDefault="007C520A" w:rsidP="007C520A">
            <w:pPr>
              <w:jc w:val="right"/>
              <w:rPr>
                <w:rFonts w:ascii="Arial" w:hAnsi="Arial" w:cs="Arial"/>
                <w:sz w:val="18"/>
                <w:szCs w:val="18"/>
              </w:rPr>
            </w:pPr>
            <w:r>
              <w:rPr>
                <w:rFonts w:ascii="Arial" w:hAnsi="Arial"/>
                <w:sz w:val="18"/>
                <w:szCs w:val="18"/>
              </w:rPr>
              <w:t>447,4</w:t>
            </w:r>
          </w:p>
        </w:tc>
        <w:tc>
          <w:tcPr>
            <w:tcW w:w="1417" w:type="dxa"/>
            <w:shd w:val="clear" w:color="auto" w:fill="auto"/>
            <w:vAlign w:val="center"/>
          </w:tcPr>
          <w:p w14:paraId="3C908675" w14:textId="77777777" w:rsidR="007C520A" w:rsidRPr="000277E3" w:rsidRDefault="007C520A" w:rsidP="007C520A">
            <w:pPr>
              <w:jc w:val="right"/>
              <w:rPr>
                <w:rFonts w:ascii="Arial" w:hAnsi="Arial" w:cs="Arial"/>
                <w:sz w:val="18"/>
                <w:szCs w:val="18"/>
              </w:rPr>
            </w:pPr>
            <w:r>
              <w:rPr>
                <w:rFonts w:ascii="Arial" w:hAnsi="Arial"/>
                <w:sz w:val="18"/>
                <w:szCs w:val="18"/>
              </w:rPr>
              <w:t>+5,7%</w:t>
            </w:r>
          </w:p>
        </w:tc>
        <w:tc>
          <w:tcPr>
            <w:tcW w:w="1417" w:type="dxa"/>
            <w:vAlign w:val="center"/>
          </w:tcPr>
          <w:p w14:paraId="0F831956" w14:textId="77777777" w:rsidR="007C520A" w:rsidRPr="000277E3" w:rsidRDefault="007C520A" w:rsidP="007C520A">
            <w:pPr>
              <w:jc w:val="right"/>
              <w:rPr>
                <w:rFonts w:ascii="Arial" w:hAnsi="Arial" w:cs="Arial"/>
                <w:sz w:val="18"/>
                <w:szCs w:val="18"/>
              </w:rPr>
            </w:pPr>
            <w:r>
              <w:rPr>
                <w:rFonts w:ascii="Arial" w:hAnsi="Arial"/>
                <w:sz w:val="18"/>
                <w:szCs w:val="18"/>
              </w:rPr>
              <w:t>+6,1%</w:t>
            </w:r>
          </w:p>
        </w:tc>
      </w:tr>
      <w:tr w:rsidR="007C520A" w:rsidRPr="000277E3" w14:paraId="0514BB67" w14:textId="77777777" w:rsidTr="007C520A">
        <w:trPr>
          <w:trHeight w:val="264"/>
        </w:trPr>
        <w:tc>
          <w:tcPr>
            <w:tcW w:w="2041" w:type="dxa"/>
            <w:vAlign w:val="center"/>
          </w:tcPr>
          <w:p w14:paraId="6176FCD8" w14:textId="77777777" w:rsidR="007C520A" w:rsidRPr="000277E3" w:rsidRDefault="007C520A" w:rsidP="007C520A">
            <w:pPr>
              <w:ind w:right="-35"/>
              <w:rPr>
                <w:rFonts w:ascii="Arial" w:hAnsi="Arial" w:cs="Arial"/>
                <w:sz w:val="18"/>
                <w:szCs w:val="18"/>
              </w:rPr>
            </w:pPr>
            <w:r>
              <w:rPr>
                <w:rFonts w:ascii="Arial" w:hAnsi="Arial"/>
                <w:sz w:val="18"/>
                <w:szCs w:val="18"/>
              </w:rPr>
              <w:t>Francia</w:t>
            </w:r>
          </w:p>
        </w:tc>
        <w:tc>
          <w:tcPr>
            <w:tcW w:w="1587" w:type="dxa"/>
            <w:shd w:val="clear" w:color="auto" w:fill="auto"/>
            <w:vAlign w:val="center"/>
          </w:tcPr>
          <w:p w14:paraId="2CCEE5A7" w14:textId="77777777" w:rsidR="007C520A" w:rsidRPr="000277E3" w:rsidRDefault="007C520A" w:rsidP="007C520A">
            <w:pPr>
              <w:jc w:val="right"/>
              <w:rPr>
                <w:rFonts w:ascii="Arial" w:hAnsi="Arial" w:cs="Arial"/>
                <w:sz w:val="18"/>
                <w:szCs w:val="18"/>
              </w:rPr>
            </w:pPr>
            <w:r>
              <w:rPr>
                <w:rFonts w:ascii="Arial" w:hAnsi="Arial"/>
                <w:sz w:val="18"/>
                <w:szCs w:val="18"/>
              </w:rPr>
              <w:t>300,6</w:t>
            </w:r>
          </w:p>
        </w:tc>
        <w:tc>
          <w:tcPr>
            <w:tcW w:w="1587" w:type="dxa"/>
            <w:shd w:val="clear" w:color="auto" w:fill="auto"/>
            <w:vAlign w:val="center"/>
          </w:tcPr>
          <w:p w14:paraId="184D02D3" w14:textId="77777777" w:rsidR="007C520A" w:rsidRPr="000277E3" w:rsidRDefault="007C520A" w:rsidP="007C520A">
            <w:pPr>
              <w:jc w:val="right"/>
              <w:rPr>
                <w:rFonts w:ascii="Arial" w:hAnsi="Arial" w:cs="Arial"/>
                <w:sz w:val="18"/>
                <w:szCs w:val="18"/>
              </w:rPr>
            </w:pPr>
            <w:r>
              <w:rPr>
                <w:rFonts w:ascii="Arial" w:hAnsi="Arial"/>
                <w:sz w:val="18"/>
                <w:szCs w:val="18"/>
              </w:rPr>
              <w:t>287,6</w:t>
            </w:r>
          </w:p>
        </w:tc>
        <w:tc>
          <w:tcPr>
            <w:tcW w:w="1417" w:type="dxa"/>
            <w:shd w:val="clear" w:color="auto" w:fill="auto"/>
            <w:vAlign w:val="center"/>
          </w:tcPr>
          <w:p w14:paraId="5D72133F" w14:textId="77777777" w:rsidR="007C520A" w:rsidRPr="000277E3" w:rsidRDefault="007C520A" w:rsidP="007C520A">
            <w:pPr>
              <w:jc w:val="right"/>
              <w:rPr>
                <w:rFonts w:ascii="Arial" w:hAnsi="Arial" w:cs="Arial"/>
                <w:sz w:val="18"/>
                <w:szCs w:val="18"/>
              </w:rPr>
            </w:pPr>
            <w:r>
              <w:rPr>
                <w:rFonts w:ascii="Arial" w:hAnsi="Arial"/>
                <w:sz w:val="18"/>
                <w:szCs w:val="18"/>
              </w:rPr>
              <w:t>+4,5%</w:t>
            </w:r>
          </w:p>
        </w:tc>
        <w:tc>
          <w:tcPr>
            <w:tcW w:w="1417" w:type="dxa"/>
            <w:vAlign w:val="center"/>
          </w:tcPr>
          <w:p w14:paraId="7C59335F" w14:textId="77777777" w:rsidR="007C520A" w:rsidRPr="000277E3" w:rsidRDefault="007C520A" w:rsidP="007C520A">
            <w:pPr>
              <w:jc w:val="right"/>
              <w:rPr>
                <w:rFonts w:ascii="Arial" w:hAnsi="Arial" w:cs="Arial"/>
                <w:sz w:val="18"/>
                <w:szCs w:val="18"/>
              </w:rPr>
            </w:pPr>
            <w:r>
              <w:rPr>
                <w:rFonts w:ascii="Arial" w:hAnsi="Arial"/>
                <w:sz w:val="18"/>
                <w:szCs w:val="18"/>
              </w:rPr>
              <w:t>+4,5%</w:t>
            </w:r>
          </w:p>
        </w:tc>
      </w:tr>
      <w:tr w:rsidR="007C520A" w:rsidRPr="000277E3" w14:paraId="1C38EDDD" w14:textId="77777777" w:rsidTr="007C520A">
        <w:trPr>
          <w:trHeight w:val="285"/>
        </w:trPr>
        <w:tc>
          <w:tcPr>
            <w:tcW w:w="2041" w:type="dxa"/>
            <w:vAlign w:val="center"/>
          </w:tcPr>
          <w:p w14:paraId="07660383" w14:textId="7906DF98" w:rsidR="007C520A" w:rsidRPr="000277E3" w:rsidRDefault="007C520A" w:rsidP="007C520A">
            <w:pPr>
              <w:ind w:right="-35"/>
              <w:rPr>
                <w:rFonts w:ascii="Arial" w:hAnsi="Arial" w:cs="Arial"/>
                <w:sz w:val="18"/>
                <w:szCs w:val="18"/>
              </w:rPr>
            </w:pPr>
            <w:r>
              <w:rPr>
                <w:rFonts w:ascii="Arial" w:hAnsi="Arial"/>
                <w:sz w:val="18"/>
                <w:szCs w:val="18"/>
              </w:rPr>
              <w:t xml:space="preserve">Resto del </w:t>
            </w:r>
            <w:r w:rsidR="002676A6">
              <w:rPr>
                <w:rFonts w:ascii="Arial" w:hAnsi="Arial"/>
                <w:sz w:val="18"/>
                <w:szCs w:val="18"/>
              </w:rPr>
              <w:t>M</w:t>
            </w:r>
            <w:r>
              <w:rPr>
                <w:rFonts w:ascii="Arial" w:hAnsi="Arial"/>
                <w:sz w:val="18"/>
                <w:szCs w:val="18"/>
              </w:rPr>
              <w:t>ondo</w:t>
            </w:r>
          </w:p>
        </w:tc>
        <w:tc>
          <w:tcPr>
            <w:tcW w:w="1587" w:type="dxa"/>
            <w:shd w:val="clear" w:color="auto" w:fill="auto"/>
            <w:vAlign w:val="center"/>
          </w:tcPr>
          <w:p w14:paraId="6FA168B1" w14:textId="77777777" w:rsidR="007C520A" w:rsidRPr="000277E3" w:rsidRDefault="007C520A" w:rsidP="007C520A">
            <w:pPr>
              <w:jc w:val="right"/>
              <w:rPr>
                <w:rFonts w:ascii="Arial" w:hAnsi="Arial" w:cs="Arial"/>
                <w:sz w:val="18"/>
                <w:szCs w:val="18"/>
              </w:rPr>
            </w:pPr>
            <w:r>
              <w:rPr>
                <w:rFonts w:ascii="Arial" w:hAnsi="Arial"/>
                <w:sz w:val="18"/>
                <w:szCs w:val="18"/>
              </w:rPr>
              <w:t>208,3</w:t>
            </w:r>
          </w:p>
        </w:tc>
        <w:tc>
          <w:tcPr>
            <w:tcW w:w="1587" w:type="dxa"/>
            <w:shd w:val="clear" w:color="auto" w:fill="auto"/>
            <w:vAlign w:val="center"/>
          </w:tcPr>
          <w:p w14:paraId="1E3A3FAB" w14:textId="77777777" w:rsidR="007C520A" w:rsidRPr="000277E3" w:rsidRDefault="007C520A" w:rsidP="007C520A">
            <w:pPr>
              <w:jc w:val="right"/>
              <w:rPr>
                <w:rFonts w:ascii="Arial" w:hAnsi="Arial" w:cs="Arial"/>
                <w:sz w:val="18"/>
                <w:szCs w:val="18"/>
              </w:rPr>
            </w:pPr>
            <w:r>
              <w:rPr>
                <w:rFonts w:ascii="Arial" w:hAnsi="Arial"/>
                <w:sz w:val="18"/>
                <w:szCs w:val="18"/>
              </w:rPr>
              <w:t>208,3</w:t>
            </w:r>
          </w:p>
        </w:tc>
        <w:tc>
          <w:tcPr>
            <w:tcW w:w="1417" w:type="dxa"/>
            <w:shd w:val="clear" w:color="auto" w:fill="auto"/>
            <w:vAlign w:val="center"/>
          </w:tcPr>
          <w:p w14:paraId="3BA95638" w14:textId="77777777" w:rsidR="007C520A" w:rsidRPr="000277E3" w:rsidRDefault="007C520A" w:rsidP="007C520A">
            <w:pPr>
              <w:jc w:val="right"/>
              <w:rPr>
                <w:rFonts w:ascii="Arial" w:hAnsi="Arial" w:cs="Arial"/>
                <w:sz w:val="18"/>
                <w:szCs w:val="18"/>
              </w:rPr>
            </w:pPr>
            <w:r>
              <w:rPr>
                <w:rFonts w:ascii="Arial" w:hAnsi="Arial"/>
                <w:sz w:val="18"/>
                <w:szCs w:val="18"/>
              </w:rPr>
              <w:t>0,0%</w:t>
            </w:r>
          </w:p>
        </w:tc>
        <w:tc>
          <w:tcPr>
            <w:tcW w:w="1417" w:type="dxa"/>
            <w:vAlign w:val="center"/>
          </w:tcPr>
          <w:p w14:paraId="6A5D66AD" w14:textId="77777777" w:rsidR="007C520A" w:rsidRPr="000277E3" w:rsidRDefault="007C520A" w:rsidP="007C520A">
            <w:pPr>
              <w:jc w:val="right"/>
              <w:rPr>
                <w:rFonts w:ascii="Arial" w:hAnsi="Arial" w:cs="Arial"/>
                <w:sz w:val="18"/>
                <w:szCs w:val="18"/>
              </w:rPr>
            </w:pPr>
            <w:r>
              <w:rPr>
                <w:rFonts w:ascii="Arial" w:hAnsi="Arial"/>
                <w:sz w:val="18"/>
                <w:szCs w:val="18"/>
              </w:rPr>
              <w:t>-1,7%</w:t>
            </w:r>
          </w:p>
        </w:tc>
      </w:tr>
      <w:tr w:rsidR="007C520A" w:rsidRPr="000277E3" w14:paraId="64DB0154" w14:textId="77777777" w:rsidTr="007C520A">
        <w:trPr>
          <w:trHeight w:val="276"/>
        </w:trPr>
        <w:tc>
          <w:tcPr>
            <w:tcW w:w="2041" w:type="dxa"/>
            <w:vAlign w:val="center"/>
          </w:tcPr>
          <w:p w14:paraId="4F0A0A28" w14:textId="77777777" w:rsidR="007C520A" w:rsidRPr="000277E3" w:rsidRDefault="007C520A" w:rsidP="007C520A">
            <w:pPr>
              <w:ind w:right="-35"/>
              <w:rPr>
                <w:rFonts w:ascii="Arial" w:hAnsi="Arial" w:cs="Arial"/>
                <w:sz w:val="18"/>
                <w:szCs w:val="18"/>
              </w:rPr>
            </w:pPr>
            <w:r>
              <w:rPr>
                <w:rFonts w:ascii="Arial" w:hAnsi="Arial"/>
                <w:sz w:val="18"/>
                <w:szCs w:val="18"/>
              </w:rPr>
              <w:t>Regno Unito</w:t>
            </w:r>
          </w:p>
        </w:tc>
        <w:tc>
          <w:tcPr>
            <w:tcW w:w="1587" w:type="dxa"/>
            <w:shd w:val="clear" w:color="auto" w:fill="auto"/>
            <w:vAlign w:val="center"/>
          </w:tcPr>
          <w:p w14:paraId="4F347653" w14:textId="77777777" w:rsidR="007C520A" w:rsidRPr="000277E3" w:rsidRDefault="007C520A" w:rsidP="007C520A">
            <w:pPr>
              <w:jc w:val="right"/>
              <w:rPr>
                <w:rFonts w:ascii="Arial" w:hAnsi="Arial" w:cs="Arial"/>
                <w:sz w:val="18"/>
                <w:szCs w:val="18"/>
              </w:rPr>
            </w:pPr>
            <w:r>
              <w:rPr>
                <w:rFonts w:ascii="Arial" w:hAnsi="Arial"/>
                <w:sz w:val="18"/>
                <w:szCs w:val="18"/>
              </w:rPr>
              <w:t>171,9</w:t>
            </w:r>
          </w:p>
        </w:tc>
        <w:tc>
          <w:tcPr>
            <w:tcW w:w="1587" w:type="dxa"/>
            <w:shd w:val="clear" w:color="auto" w:fill="auto"/>
            <w:vAlign w:val="center"/>
          </w:tcPr>
          <w:p w14:paraId="2AAC272B" w14:textId="77777777" w:rsidR="007C520A" w:rsidRPr="000277E3" w:rsidRDefault="007C520A" w:rsidP="007C520A">
            <w:pPr>
              <w:jc w:val="right"/>
              <w:rPr>
                <w:rFonts w:ascii="Arial" w:hAnsi="Arial" w:cs="Arial"/>
                <w:sz w:val="18"/>
                <w:szCs w:val="18"/>
              </w:rPr>
            </w:pPr>
            <w:r>
              <w:rPr>
                <w:rFonts w:ascii="Arial" w:hAnsi="Arial"/>
                <w:sz w:val="18"/>
                <w:szCs w:val="18"/>
              </w:rPr>
              <w:t>173,2</w:t>
            </w:r>
          </w:p>
        </w:tc>
        <w:tc>
          <w:tcPr>
            <w:tcW w:w="1417" w:type="dxa"/>
            <w:shd w:val="clear" w:color="auto" w:fill="auto"/>
            <w:vAlign w:val="center"/>
          </w:tcPr>
          <w:p w14:paraId="29676E5F" w14:textId="77777777" w:rsidR="007C520A" w:rsidRPr="000277E3" w:rsidRDefault="007C520A" w:rsidP="007C520A">
            <w:pPr>
              <w:jc w:val="right"/>
              <w:rPr>
                <w:rFonts w:ascii="Arial" w:hAnsi="Arial" w:cs="Arial"/>
                <w:sz w:val="18"/>
                <w:szCs w:val="18"/>
              </w:rPr>
            </w:pPr>
            <w:r>
              <w:rPr>
                <w:rFonts w:ascii="Arial" w:hAnsi="Arial"/>
                <w:sz w:val="18"/>
                <w:szCs w:val="18"/>
              </w:rPr>
              <w:t>-0,8%</w:t>
            </w:r>
          </w:p>
        </w:tc>
        <w:tc>
          <w:tcPr>
            <w:tcW w:w="1417" w:type="dxa"/>
            <w:vAlign w:val="center"/>
          </w:tcPr>
          <w:p w14:paraId="0001EC83" w14:textId="77777777" w:rsidR="007C520A" w:rsidRPr="000277E3" w:rsidRDefault="007C520A" w:rsidP="007C520A">
            <w:pPr>
              <w:jc w:val="right"/>
              <w:rPr>
                <w:rFonts w:ascii="Arial" w:hAnsi="Arial" w:cs="Arial"/>
                <w:sz w:val="18"/>
                <w:szCs w:val="18"/>
              </w:rPr>
            </w:pPr>
            <w:r>
              <w:rPr>
                <w:rFonts w:ascii="Arial" w:hAnsi="Arial"/>
                <w:sz w:val="18"/>
                <w:szCs w:val="18"/>
              </w:rPr>
              <w:t>-1,5%</w:t>
            </w:r>
          </w:p>
        </w:tc>
      </w:tr>
      <w:tr w:rsidR="007C520A" w:rsidRPr="000277E3" w14:paraId="402085BC" w14:textId="77777777" w:rsidTr="007C520A">
        <w:trPr>
          <w:trHeight w:val="276"/>
        </w:trPr>
        <w:tc>
          <w:tcPr>
            <w:tcW w:w="2041" w:type="dxa"/>
            <w:vAlign w:val="center"/>
          </w:tcPr>
          <w:p w14:paraId="40CEE602" w14:textId="334F5C74" w:rsidR="007C520A" w:rsidRPr="000277E3" w:rsidRDefault="005841A3" w:rsidP="007C520A">
            <w:pPr>
              <w:ind w:right="-35"/>
              <w:rPr>
                <w:rFonts w:ascii="Arial" w:hAnsi="Arial" w:cs="Arial"/>
                <w:sz w:val="18"/>
                <w:szCs w:val="18"/>
              </w:rPr>
            </w:pPr>
            <w:r>
              <w:rPr>
                <w:rFonts w:ascii="Arial" w:hAnsi="Arial"/>
                <w:sz w:val="18"/>
                <w:szCs w:val="18"/>
              </w:rPr>
              <w:t xml:space="preserve">Nord </w:t>
            </w:r>
            <w:r w:rsidR="007C520A">
              <w:rPr>
                <w:rFonts w:ascii="Arial" w:hAnsi="Arial"/>
                <w:sz w:val="18"/>
                <w:szCs w:val="18"/>
              </w:rPr>
              <w:t>America</w:t>
            </w:r>
          </w:p>
        </w:tc>
        <w:tc>
          <w:tcPr>
            <w:tcW w:w="1587" w:type="dxa"/>
            <w:shd w:val="clear" w:color="auto" w:fill="auto"/>
            <w:vAlign w:val="center"/>
          </w:tcPr>
          <w:p w14:paraId="5C5AB10B" w14:textId="77777777" w:rsidR="007C520A" w:rsidRPr="000277E3" w:rsidRDefault="007C520A" w:rsidP="007C520A">
            <w:pPr>
              <w:jc w:val="right"/>
              <w:rPr>
                <w:rFonts w:ascii="Arial" w:hAnsi="Arial" w:cs="Arial"/>
                <w:sz w:val="18"/>
                <w:szCs w:val="18"/>
              </w:rPr>
            </w:pPr>
            <w:r>
              <w:rPr>
                <w:rFonts w:ascii="Arial" w:hAnsi="Arial"/>
                <w:sz w:val="18"/>
                <w:szCs w:val="18"/>
              </w:rPr>
              <w:t>150,0</w:t>
            </w:r>
          </w:p>
        </w:tc>
        <w:tc>
          <w:tcPr>
            <w:tcW w:w="1587" w:type="dxa"/>
            <w:shd w:val="clear" w:color="auto" w:fill="auto"/>
            <w:vAlign w:val="center"/>
          </w:tcPr>
          <w:p w14:paraId="1E46D66E" w14:textId="77777777" w:rsidR="007C520A" w:rsidRPr="000277E3" w:rsidRDefault="007C520A" w:rsidP="007C520A">
            <w:pPr>
              <w:jc w:val="right"/>
              <w:rPr>
                <w:rFonts w:ascii="Arial" w:hAnsi="Arial" w:cs="Arial"/>
                <w:sz w:val="18"/>
                <w:szCs w:val="18"/>
              </w:rPr>
            </w:pPr>
            <w:r>
              <w:rPr>
                <w:rFonts w:ascii="Arial" w:hAnsi="Arial"/>
                <w:sz w:val="18"/>
                <w:szCs w:val="18"/>
              </w:rPr>
              <w:t>126,6</w:t>
            </w:r>
          </w:p>
        </w:tc>
        <w:tc>
          <w:tcPr>
            <w:tcW w:w="1417" w:type="dxa"/>
            <w:shd w:val="clear" w:color="auto" w:fill="auto"/>
            <w:vAlign w:val="center"/>
          </w:tcPr>
          <w:p w14:paraId="1E9CEEDD" w14:textId="77777777" w:rsidR="007C520A" w:rsidRPr="000277E3" w:rsidRDefault="007C520A" w:rsidP="007C520A">
            <w:pPr>
              <w:jc w:val="right"/>
              <w:rPr>
                <w:rFonts w:ascii="Arial" w:hAnsi="Arial" w:cs="Arial"/>
                <w:sz w:val="18"/>
                <w:szCs w:val="18"/>
              </w:rPr>
            </w:pPr>
            <w:r>
              <w:rPr>
                <w:rFonts w:ascii="Arial" w:hAnsi="Arial"/>
                <w:sz w:val="18"/>
                <w:szCs w:val="18"/>
              </w:rPr>
              <w:t>+18,5%</w:t>
            </w:r>
          </w:p>
        </w:tc>
        <w:tc>
          <w:tcPr>
            <w:tcW w:w="1417" w:type="dxa"/>
            <w:vAlign w:val="center"/>
          </w:tcPr>
          <w:p w14:paraId="058450E8" w14:textId="77777777" w:rsidR="007C520A" w:rsidRPr="000277E3" w:rsidRDefault="007C520A" w:rsidP="007C520A">
            <w:pPr>
              <w:jc w:val="right"/>
              <w:rPr>
                <w:rFonts w:ascii="Arial" w:hAnsi="Arial" w:cs="Arial"/>
                <w:sz w:val="18"/>
                <w:szCs w:val="18"/>
              </w:rPr>
            </w:pPr>
            <w:r>
              <w:rPr>
                <w:rFonts w:ascii="Arial" w:hAnsi="Arial"/>
                <w:sz w:val="18"/>
                <w:szCs w:val="18"/>
              </w:rPr>
              <w:t>+10,7%</w:t>
            </w:r>
          </w:p>
        </w:tc>
      </w:tr>
      <w:tr w:rsidR="007C520A" w:rsidRPr="000277E3" w14:paraId="01E7A606" w14:textId="77777777" w:rsidTr="007C520A">
        <w:trPr>
          <w:trHeight w:val="270"/>
        </w:trPr>
        <w:tc>
          <w:tcPr>
            <w:tcW w:w="2041" w:type="dxa"/>
            <w:vAlign w:val="center"/>
          </w:tcPr>
          <w:p w14:paraId="3AB752A4" w14:textId="77777777" w:rsidR="007C520A" w:rsidRPr="000277E3" w:rsidRDefault="007C520A" w:rsidP="007C520A">
            <w:pPr>
              <w:ind w:right="-35"/>
              <w:rPr>
                <w:rFonts w:ascii="Arial" w:hAnsi="Arial" w:cs="Arial"/>
                <w:b/>
                <w:bCs/>
                <w:sz w:val="18"/>
                <w:szCs w:val="18"/>
              </w:rPr>
            </w:pPr>
            <w:r>
              <w:rPr>
                <w:rFonts w:ascii="Arial" w:hAnsi="Arial"/>
                <w:b/>
                <w:bCs/>
                <w:sz w:val="18"/>
                <w:szCs w:val="18"/>
              </w:rPr>
              <w:t>Totale</w:t>
            </w:r>
          </w:p>
        </w:tc>
        <w:tc>
          <w:tcPr>
            <w:tcW w:w="1587" w:type="dxa"/>
            <w:shd w:val="clear" w:color="auto" w:fill="auto"/>
            <w:vAlign w:val="center"/>
          </w:tcPr>
          <w:p w14:paraId="25EA3326" w14:textId="77777777" w:rsidR="007C520A" w:rsidRPr="000277E3" w:rsidRDefault="007C520A" w:rsidP="007C520A">
            <w:pPr>
              <w:jc w:val="right"/>
              <w:rPr>
                <w:rFonts w:ascii="Arial" w:hAnsi="Arial" w:cs="Arial"/>
                <w:b/>
                <w:sz w:val="18"/>
                <w:szCs w:val="18"/>
              </w:rPr>
            </w:pPr>
            <w:r>
              <w:rPr>
                <w:rFonts w:ascii="Arial" w:hAnsi="Arial"/>
                <w:b/>
                <w:sz w:val="18"/>
                <w:szCs w:val="18"/>
              </w:rPr>
              <w:t>1.842,3</w:t>
            </w:r>
          </w:p>
        </w:tc>
        <w:tc>
          <w:tcPr>
            <w:tcW w:w="1587" w:type="dxa"/>
            <w:shd w:val="clear" w:color="auto" w:fill="auto"/>
            <w:vAlign w:val="center"/>
          </w:tcPr>
          <w:p w14:paraId="24B8FCEB" w14:textId="77777777" w:rsidR="007C520A" w:rsidRPr="000277E3" w:rsidRDefault="007C520A" w:rsidP="007C520A">
            <w:pPr>
              <w:jc w:val="right"/>
              <w:rPr>
                <w:rFonts w:ascii="Arial" w:hAnsi="Arial" w:cs="Arial"/>
                <w:b/>
                <w:sz w:val="18"/>
                <w:szCs w:val="18"/>
              </w:rPr>
            </w:pPr>
            <w:r>
              <w:rPr>
                <w:rFonts w:ascii="Arial" w:hAnsi="Arial"/>
                <w:b/>
                <w:sz w:val="18"/>
                <w:szCs w:val="18"/>
              </w:rPr>
              <w:t>1.643,3</w:t>
            </w:r>
          </w:p>
        </w:tc>
        <w:tc>
          <w:tcPr>
            <w:tcW w:w="1417" w:type="dxa"/>
            <w:shd w:val="clear" w:color="auto" w:fill="auto"/>
            <w:vAlign w:val="center"/>
          </w:tcPr>
          <w:p w14:paraId="67CB7B1E" w14:textId="77777777" w:rsidR="007C520A" w:rsidRPr="000277E3" w:rsidRDefault="007C520A" w:rsidP="007C520A">
            <w:pPr>
              <w:jc w:val="right"/>
              <w:rPr>
                <w:rFonts w:ascii="Arial" w:hAnsi="Arial" w:cs="Arial"/>
                <w:b/>
                <w:bCs/>
                <w:sz w:val="18"/>
                <w:szCs w:val="18"/>
              </w:rPr>
            </w:pPr>
            <w:r>
              <w:rPr>
                <w:rFonts w:ascii="Arial" w:hAnsi="Arial"/>
                <w:b/>
                <w:bCs/>
                <w:sz w:val="18"/>
                <w:szCs w:val="18"/>
              </w:rPr>
              <w:t>+12,1%</w:t>
            </w:r>
          </w:p>
        </w:tc>
        <w:tc>
          <w:tcPr>
            <w:tcW w:w="1417" w:type="dxa"/>
            <w:vAlign w:val="center"/>
          </w:tcPr>
          <w:p w14:paraId="043F0D23" w14:textId="77777777" w:rsidR="007C520A" w:rsidRPr="000277E3" w:rsidRDefault="007C520A" w:rsidP="007C520A">
            <w:pPr>
              <w:jc w:val="right"/>
              <w:rPr>
                <w:rFonts w:ascii="Arial" w:hAnsi="Arial" w:cs="Arial"/>
                <w:b/>
                <w:sz w:val="18"/>
                <w:szCs w:val="18"/>
              </w:rPr>
            </w:pPr>
            <w:r>
              <w:rPr>
                <w:rFonts w:ascii="Arial" w:hAnsi="Arial"/>
                <w:b/>
                <w:sz w:val="18"/>
                <w:szCs w:val="18"/>
              </w:rPr>
              <w:t>+5,2%</w:t>
            </w:r>
          </w:p>
        </w:tc>
      </w:tr>
    </w:tbl>
    <w:p w14:paraId="2ED8F166" w14:textId="77777777" w:rsidR="00A33C9C" w:rsidRPr="000277E3" w:rsidRDefault="00A33C9C" w:rsidP="00A33C9C">
      <w:pPr>
        <w:autoSpaceDE w:val="0"/>
        <w:autoSpaceDN w:val="0"/>
        <w:adjustRightInd w:val="0"/>
        <w:ind w:left="1134" w:right="-566"/>
        <w:rPr>
          <w:rFonts w:ascii="Arial" w:hAnsi="Arial" w:cs="Arial"/>
          <w:i/>
          <w:iCs/>
          <w:sz w:val="16"/>
          <w:szCs w:val="16"/>
        </w:rPr>
      </w:pPr>
      <w:r>
        <w:rPr>
          <w:rFonts w:ascii="Arial" w:hAnsi="Arial"/>
          <w:i/>
          <w:iCs/>
          <w:sz w:val="16"/>
          <w:szCs w:val="16"/>
        </w:rPr>
        <w:t>(a) A perimetro e tasso di cambio costanti</w:t>
      </w:r>
    </w:p>
    <w:p w14:paraId="53B198E4" w14:textId="77777777" w:rsidR="00A33C9C" w:rsidRPr="000277E3" w:rsidRDefault="00A33C9C" w:rsidP="00A33C9C">
      <w:pPr>
        <w:autoSpaceDE w:val="0"/>
        <w:autoSpaceDN w:val="0"/>
        <w:adjustRightInd w:val="0"/>
        <w:ind w:left="1134" w:right="-566"/>
        <w:rPr>
          <w:rFonts w:ascii="Arial" w:hAnsi="Arial" w:cs="Arial"/>
          <w:i/>
          <w:iCs/>
          <w:sz w:val="16"/>
          <w:szCs w:val="16"/>
        </w:rPr>
      </w:pPr>
      <w:r>
        <w:rPr>
          <w:rFonts w:ascii="Arial" w:hAnsi="Arial"/>
          <w:i/>
          <w:iCs/>
          <w:sz w:val="16"/>
          <w:szCs w:val="16"/>
        </w:rPr>
        <w:t>(b) eccetto Francia e Regno Unito</w:t>
      </w:r>
    </w:p>
    <w:p w14:paraId="5F435491" w14:textId="77777777" w:rsidR="00A33C9C" w:rsidRPr="00D14232" w:rsidRDefault="00A33C9C" w:rsidP="00A33C9C">
      <w:pPr>
        <w:ind w:left="1134"/>
        <w:jc w:val="both"/>
        <w:rPr>
          <w:rFonts w:ascii="Arial" w:hAnsi="Arial" w:cs="Arial"/>
          <w:sz w:val="18"/>
          <w:szCs w:val="18"/>
        </w:rPr>
      </w:pPr>
    </w:p>
    <w:p w14:paraId="3510348A" w14:textId="15076A87" w:rsidR="00A33C9C" w:rsidRPr="000277E3" w:rsidRDefault="00A33C9C" w:rsidP="00A33C9C">
      <w:pPr>
        <w:ind w:left="1134"/>
        <w:jc w:val="both"/>
        <w:rPr>
          <w:rFonts w:ascii="Arial" w:hAnsi="Arial" w:cs="Arial"/>
          <w:sz w:val="18"/>
          <w:szCs w:val="18"/>
        </w:rPr>
      </w:pPr>
      <w:r>
        <w:rPr>
          <w:rFonts w:ascii="Arial" w:hAnsi="Arial"/>
          <w:sz w:val="18"/>
          <w:szCs w:val="18"/>
        </w:rPr>
        <w:t xml:space="preserve">I commenti nel seguito riportati, relativi alle aree geografiche, riguardano </w:t>
      </w:r>
      <w:r w:rsidR="003368B5">
        <w:rPr>
          <w:rFonts w:ascii="Arial" w:hAnsi="Arial"/>
          <w:sz w:val="18"/>
          <w:szCs w:val="18"/>
        </w:rPr>
        <w:t>l’evoluzione</w:t>
      </w:r>
      <w:r>
        <w:rPr>
          <w:rFonts w:ascii="Arial" w:hAnsi="Arial"/>
          <w:sz w:val="18"/>
          <w:szCs w:val="18"/>
        </w:rPr>
        <w:t xml:space="preserve"> del fatturato organico.</w:t>
      </w:r>
    </w:p>
    <w:p w14:paraId="49BC6142" w14:textId="77777777" w:rsidR="00A33C9C" w:rsidRPr="00D14232" w:rsidRDefault="00A33C9C" w:rsidP="00A33C9C">
      <w:pPr>
        <w:ind w:left="1134"/>
        <w:jc w:val="both"/>
        <w:rPr>
          <w:rFonts w:ascii="Arial" w:hAnsi="Arial" w:cs="Arial"/>
          <w:sz w:val="18"/>
          <w:szCs w:val="18"/>
        </w:rPr>
      </w:pPr>
    </w:p>
    <w:p w14:paraId="5AEBF39F" w14:textId="77777777" w:rsidR="00A33C9C" w:rsidRPr="000277E3" w:rsidRDefault="00A33C9C" w:rsidP="00A33C9C">
      <w:pPr>
        <w:spacing w:after="60"/>
        <w:ind w:left="1134"/>
        <w:jc w:val="both"/>
        <w:rPr>
          <w:rFonts w:ascii="Arial" w:hAnsi="Arial" w:cs="Arial"/>
          <w:b/>
          <w:sz w:val="18"/>
          <w:szCs w:val="18"/>
          <w:u w:val="single"/>
        </w:rPr>
      </w:pPr>
      <w:r>
        <w:rPr>
          <w:rFonts w:ascii="Arial" w:hAnsi="Arial"/>
          <w:b/>
          <w:sz w:val="18"/>
          <w:szCs w:val="18"/>
          <w:u w:val="single"/>
        </w:rPr>
        <w:t>ARREDO URBANO</w:t>
      </w:r>
    </w:p>
    <w:p w14:paraId="28EE0204" w14:textId="7580118C" w:rsidR="00A33C9C" w:rsidRPr="000277E3" w:rsidRDefault="00A33C9C" w:rsidP="00A33C9C">
      <w:pPr>
        <w:ind w:left="1134"/>
        <w:jc w:val="both"/>
        <w:rPr>
          <w:rFonts w:ascii="Arial" w:hAnsi="Arial" w:cs="Arial"/>
          <w:sz w:val="18"/>
          <w:szCs w:val="18"/>
        </w:rPr>
      </w:pPr>
      <w:r>
        <w:rPr>
          <w:rFonts w:ascii="Arial" w:hAnsi="Arial"/>
          <w:sz w:val="18"/>
          <w:szCs w:val="18"/>
        </w:rPr>
        <w:t xml:space="preserve">Il fatturato rideterminato del primo semestre </w:t>
      </w:r>
      <w:r w:rsidR="00AB6DBA">
        <w:rPr>
          <w:rFonts w:ascii="Arial" w:hAnsi="Arial"/>
          <w:sz w:val="18"/>
          <w:szCs w:val="18"/>
        </w:rPr>
        <w:t xml:space="preserve">del </w:t>
      </w:r>
      <w:r>
        <w:rPr>
          <w:rFonts w:ascii="Arial" w:hAnsi="Arial"/>
          <w:sz w:val="18"/>
          <w:szCs w:val="18"/>
        </w:rPr>
        <w:t>2019 è in aumento del +6,4% attestandosi a 790,6 milioni di euro, in crescita del +5,6% in organico, favorito dalla buona performance</w:t>
      </w:r>
      <w:r w:rsidR="005841A3">
        <w:rPr>
          <w:rFonts w:ascii="Arial" w:hAnsi="Arial"/>
          <w:sz w:val="18"/>
          <w:szCs w:val="18"/>
        </w:rPr>
        <w:t xml:space="preserve"> in Francia,</w:t>
      </w:r>
      <w:r>
        <w:rPr>
          <w:rFonts w:ascii="Arial" w:hAnsi="Arial"/>
          <w:sz w:val="18"/>
          <w:szCs w:val="18"/>
        </w:rPr>
        <w:t xml:space="preserve"> nel Resto d'Europa e in </w:t>
      </w:r>
      <w:r w:rsidR="005841A3">
        <w:rPr>
          <w:rFonts w:ascii="Arial" w:hAnsi="Arial"/>
          <w:sz w:val="18"/>
          <w:szCs w:val="18"/>
        </w:rPr>
        <w:t>Nord America</w:t>
      </w:r>
      <w:r>
        <w:rPr>
          <w:rFonts w:ascii="Arial" w:hAnsi="Arial"/>
          <w:sz w:val="18"/>
          <w:szCs w:val="18"/>
        </w:rPr>
        <w:t xml:space="preserve">, nonché da una crescita a due cifre </w:t>
      </w:r>
      <w:r w:rsidR="005841A3">
        <w:rPr>
          <w:rFonts w:ascii="Arial" w:hAnsi="Arial"/>
          <w:sz w:val="18"/>
          <w:szCs w:val="18"/>
        </w:rPr>
        <w:t>nella regione Asia-Pacifico</w:t>
      </w:r>
      <w:r>
        <w:rPr>
          <w:rFonts w:ascii="Arial" w:hAnsi="Arial"/>
          <w:sz w:val="18"/>
          <w:szCs w:val="18"/>
        </w:rPr>
        <w:t>. Il Regno Unito è in calo a seguito del divieto di pubblicizzare i prodotti HFSS (Prodotti ad alto contenuto di grassi, sale e zuccheri) a Londra, sugli asset di TfL.</w:t>
      </w:r>
    </w:p>
    <w:p w14:paraId="4DD01278" w14:textId="6983AF1A" w:rsidR="00A33C9C" w:rsidRPr="000277E3" w:rsidRDefault="00A33C9C" w:rsidP="00A33C9C">
      <w:pPr>
        <w:ind w:left="1134"/>
        <w:jc w:val="both"/>
        <w:rPr>
          <w:rFonts w:ascii="Arial" w:hAnsi="Arial" w:cs="Arial"/>
          <w:sz w:val="18"/>
          <w:szCs w:val="18"/>
        </w:rPr>
      </w:pPr>
      <w:r>
        <w:rPr>
          <w:rFonts w:ascii="Arial" w:hAnsi="Arial"/>
          <w:sz w:val="18"/>
          <w:szCs w:val="18"/>
        </w:rPr>
        <w:t>Nel primo semestre, il fatturato pubblicitario organico rideterminato, esclusa la voce relativa a vendite, locazioni e contratti di manutenzione di arredo urbano</w:t>
      </w:r>
      <w:r w:rsidR="002676A6">
        <w:rPr>
          <w:rFonts w:ascii="Arial" w:hAnsi="Arial"/>
          <w:sz w:val="18"/>
          <w:szCs w:val="18"/>
        </w:rPr>
        <w:t>,</w:t>
      </w:r>
      <w:r>
        <w:rPr>
          <w:rFonts w:ascii="Arial" w:hAnsi="Arial"/>
          <w:sz w:val="18"/>
          <w:szCs w:val="18"/>
        </w:rPr>
        <w:t xml:space="preserve"> aumenta del +4,9% rispetto al primo semestre del 2018.</w:t>
      </w:r>
    </w:p>
    <w:p w14:paraId="42615637" w14:textId="77777777" w:rsidR="00A33C9C" w:rsidRPr="00D14232" w:rsidRDefault="00A33C9C" w:rsidP="00A33C9C">
      <w:pPr>
        <w:ind w:left="1134"/>
        <w:jc w:val="both"/>
        <w:rPr>
          <w:rFonts w:ascii="Arial" w:hAnsi="Arial" w:cs="Arial"/>
          <w:sz w:val="18"/>
          <w:szCs w:val="18"/>
        </w:rPr>
      </w:pPr>
    </w:p>
    <w:p w14:paraId="2B3566E8" w14:textId="1A200020" w:rsidR="00A33C9C" w:rsidRPr="000277E3" w:rsidRDefault="00A33C9C" w:rsidP="00A33C9C">
      <w:pPr>
        <w:ind w:left="1134"/>
        <w:jc w:val="both"/>
        <w:rPr>
          <w:rFonts w:ascii="Arial" w:hAnsi="Arial" w:cs="Arial"/>
          <w:sz w:val="18"/>
          <w:szCs w:val="18"/>
        </w:rPr>
      </w:pPr>
      <w:r>
        <w:rPr>
          <w:rFonts w:ascii="Arial" w:hAnsi="Arial"/>
          <w:sz w:val="18"/>
          <w:szCs w:val="18"/>
        </w:rPr>
        <w:t>Nel secondo trimestre, il fatturato rideterminato è aumentato del +10,0% attestandosi a 446,3 milioni di euro, vale a dire una crescita organica del +9,6% rispetto al secondo trimestre dell’anno scorso. Il fatturato pubblicitario organico rideterminato, esclusa la voce relativa a vendite, locazioni e contratti di manutenzione di arredo urbano</w:t>
      </w:r>
      <w:r w:rsidR="006E466C">
        <w:rPr>
          <w:rFonts w:ascii="Arial" w:hAnsi="Arial"/>
          <w:sz w:val="18"/>
          <w:szCs w:val="18"/>
        </w:rPr>
        <w:t>,</w:t>
      </w:r>
      <w:r>
        <w:rPr>
          <w:rFonts w:ascii="Arial" w:hAnsi="Arial"/>
          <w:sz w:val="18"/>
          <w:szCs w:val="18"/>
        </w:rPr>
        <w:t xml:space="preserve"> aumenta del +9,6% nel secondo trimestre del 2019 rispetto al </w:t>
      </w:r>
      <w:r w:rsidR="006E466C">
        <w:rPr>
          <w:rFonts w:ascii="Arial" w:hAnsi="Arial"/>
          <w:sz w:val="18"/>
          <w:szCs w:val="18"/>
        </w:rPr>
        <w:t>secondo</w:t>
      </w:r>
      <w:r>
        <w:rPr>
          <w:rFonts w:ascii="Arial" w:hAnsi="Arial"/>
          <w:sz w:val="18"/>
          <w:szCs w:val="18"/>
        </w:rPr>
        <w:t xml:space="preserve"> trimestre del 2018.</w:t>
      </w:r>
    </w:p>
    <w:p w14:paraId="3AB98D7A" w14:textId="77777777" w:rsidR="002B049D" w:rsidRPr="00D14232" w:rsidRDefault="002B049D" w:rsidP="00A33C9C">
      <w:pPr>
        <w:ind w:left="1134"/>
        <w:jc w:val="both"/>
        <w:rPr>
          <w:rFonts w:ascii="Arial" w:hAnsi="Arial" w:cs="Arial"/>
          <w:sz w:val="18"/>
          <w:szCs w:val="18"/>
        </w:rPr>
      </w:pPr>
    </w:p>
    <w:p w14:paraId="7B7547D3" w14:textId="17BCB49F" w:rsidR="00A33C9C" w:rsidRPr="008526E4" w:rsidRDefault="00A33C9C" w:rsidP="00A33C9C">
      <w:pPr>
        <w:spacing w:after="60"/>
        <w:ind w:left="1134"/>
        <w:jc w:val="both"/>
        <w:rPr>
          <w:rFonts w:ascii="Arial" w:hAnsi="Arial" w:cs="Arial"/>
          <w:b/>
          <w:sz w:val="18"/>
          <w:szCs w:val="18"/>
          <w:u w:val="single"/>
        </w:rPr>
      </w:pPr>
      <w:r>
        <w:rPr>
          <w:rFonts w:ascii="Arial" w:hAnsi="Arial"/>
          <w:b/>
          <w:sz w:val="18"/>
          <w:szCs w:val="18"/>
          <w:u w:val="single"/>
        </w:rPr>
        <w:t>TRASPORT</w:t>
      </w:r>
      <w:r w:rsidR="004167A8">
        <w:rPr>
          <w:rFonts w:ascii="Arial" w:hAnsi="Arial"/>
          <w:b/>
          <w:sz w:val="18"/>
          <w:szCs w:val="18"/>
          <w:u w:val="single"/>
        </w:rPr>
        <w:t>I</w:t>
      </w:r>
    </w:p>
    <w:p w14:paraId="5D5166EE" w14:textId="4D2E2374" w:rsidR="008526E4" w:rsidRPr="008526E4" w:rsidRDefault="00A33C9C" w:rsidP="00A33C9C">
      <w:pPr>
        <w:ind w:left="1134"/>
        <w:jc w:val="both"/>
        <w:rPr>
          <w:rFonts w:ascii="Arial" w:hAnsi="Arial" w:cs="Arial"/>
          <w:sz w:val="18"/>
          <w:szCs w:val="18"/>
        </w:rPr>
      </w:pPr>
      <w:r>
        <w:rPr>
          <w:rFonts w:ascii="Arial" w:hAnsi="Arial"/>
          <w:sz w:val="18"/>
          <w:szCs w:val="18"/>
        </w:rPr>
        <w:t xml:space="preserve">Il fatturato rideterminato del primo semestre </w:t>
      </w:r>
      <w:r w:rsidR="00AB6DBA">
        <w:rPr>
          <w:rFonts w:ascii="Arial" w:hAnsi="Arial"/>
          <w:sz w:val="18"/>
          <w:szCs w:val="18"/>
        </w:rPr>
        <w:t xml:space="preserve">del </w:t>
      </w:r>
      <w:r>
        <w:rPr>
          <w:rFonts w:ascii="Arial" w:hAnsi="Arial"/>
          <w:sz w:val="18"/>
          <w:szCs w:val="18"/>
        </w:rPr>
        <w:t xml:space="preserve">2019 è aumentato del +17,8% attestandosi a 777,0 milioni di euro, in crescita del +8,1% in organico, favorito dalla buona performance nella regione Asia-Pacifico, dalla crescita a due cifre nel Resto d'Europa e in </w:t>
      </w:r>
      <w:r w:rsidR="005841A3">
        <w:rPr>
          <w:rFonts w:ascii="Arial" w:hAnsi="Arial"/>
          <w:sz w:val="18"/>
          <w:szCs w:val="18"/>
        </w:rPr>
        <w:t xml:space="preserve">Nord </w:t>
      </w:r>
      <w:r>
        <w:rPr>
          <w:rFonts w:ascii="Arial" w:hAnsi="Arial"/>
          <w:sz w:val="18"/>
          <w:szCs w:val="18"/>
        </w:rPr>
        <w:t>America, mentre la Francia e il Regno Unito presentano una crescita a una cifra.</w:t>
      </w:r>
    </w:p>
    <w:p w14:paraId="16E6AD47" w14:textId="77777777" w:rsidR="008526E4" w:rsidRPr="00D14232" w:rsidRDefault="008526E4" w:rsidP="00A33C9C">
      <w:pPr>
        <w:ind w:left="1134"/>
        <w:jc w:val="both"/>
        <w:rPr>
          <w:rFonts w:ascii="Arial" w:hAnsi="Arial" w:cs="Arial"/>
          <w:sz w:val="18"/>
          <w:szCs w:val="18"/>
        </w:rPr>
      </w:pPr>
    </w:p>
    <w:p w14:paraId="2A923717" w14:textId="7E12F779" w:rsidR="00A33C9C" w:rsidRPr="008526E4" w:rsidRDefault="00A33C9C" w:rsidP="00A33C9C">
      <w:pPr>
        <w:ind w:left="1134"/>
        <w:jc w:val="both"/>
        <w:rPr>
          <w:rFonts w:ascii="Arial" w:hAnsi="Arial" w:cs="Arial"/>
          <w:sz w:val="18"/>
          <w:szCs w:val="18"/>
        </w:rPr>
      </w:pPr>
      <w:r>
        <w:rPr>
          <w:rFonts w:ascii="Arial" w:hAnsi="Arial"/>
          <w:sz w:val="18"/>
          <w:szCs w:val="18"/>
        </w:rPr>
        <w:t>Nel secondo trimestre, il fatturato rideterminato è aumentato del +11,8% attestandosi a 409,0 milioni di euro, vale a dire una crescita organica del +3,0% rispetto al secondo trimestre dell’anno scorso, principalmente a causa d</w:t>
      </w:r>
      <w:r w:rsidR="005841A3">
        <w:rPr>
          <w:rFonts w:ascii="Arial" w:hAnsi="Arial"/>
          <w:sz w:val="18"/>
          <w:szCs w:val="18"/>
        </w:rPr>
        <w:t xml:space="preserve">i una riduzione del fatturato </w:t>
      </w:r>
      <w:r>
        <w:rPr>
          <w:rFonts w:ascii="Arial" w:hAnsi="Arial"/>
          <w:sz w:val="18"/>
          <w:szCs w:val="18"/>
        </w:rPr>
        <w:t>della nostra attività nell</w:t>
      </w:r>
      <w:r w:rsidR="006E466C">
        <w:rPr>
          <w:rFonts w:ascii="Arial" w:hAnsi="Arial"/>
          <w:sz w:val="18"/>
          <w:szCs w:val="18"/>
        </w:rPr>
        <w:t>a</w:t>
      </w:r>
      <w:r>
        <w:rPr>
          <w:rFonts w:ascii="Arial" w:hAnsi="Arial"/>
          <w:sz w:val="18"/>
          <w:szCs w:val="18"/>
        </w:rPr>
        <w:t xml:space="preserve"> metropolitan</w:t>
      </w:r>
      <w:r w:rsidR="006E466C">
        <w:rPr>
          <w:rFonts w:ascii="Arial" w:hAnsi="Arial"/>
          <w:sz w:val="18"/>
          <w:szCs w:val="18"/>
        </w:rPr>
        <w:t>a</w:t>
      </w:r>
      <w:r>
        <w:rPr>
          <w:rFonts w:ascii="Arial" w:hAnsi="Arial"/>
          <w:sz w:val="18"/>
          <w:szCs w:val="18"/>
        </w:rPr>
        <w:t xml:space="preserve"> in Cina</w:t>
      </w:r>
      <w:r w:rsidR="006E466C">
        <w:rPr>
          <w:rFonts w:ascii="Arial" w:hAnsi="Arial"/>
          <w:sz w:val="18"/>
          <w:szCs w:val="18"/>
        </w:rPr>
        <w:t>.</w:t>
      </w:r>
    </w:p>
    <w:p w14:paraId="46582CF8" w14:textId="77777777" w:rsidR="00A33C9C" w:rsidRPr="00D14232" w:rsidRDefault="00A33C9C" w:rsidP="00A33C9C">
      <w:pPr>
        <w:ind w:left="1134"/>
        <w:jc w:val="both"/>
        <w:rPr>
          <w:rFonts w:ascii="Arial" w:hAnsi="Arial" w:cs="Arial"/>
          <w:sz w:val="18"/>
          <w:szCs w:val="18"/>
        </w:rPr>
      </w:pPr>
    </w:p>
    <w:p w14:paraId="3FC2081A" w14:textId="0BFCB579" w:rsidR="00A33C9C" w:rsidRPr="008526E4" w:rsidRDefault="006E466C" w:rsidP="00A33C9C">
      <w:pPr>
        <w:spacing w:after="60"/>
        <w:ind w:left="1134"/>
        <w:jc w:val="both"/>
        <w:rPr>
          <w:rFonts w:ascii="Arial" w:hAnsi="Arial" w:cs="Arial"/>
          <w:b/>
          <w:sz w:val="18"/>
          <w:szCs w:val="18"/>
          <w:u w:val="single"/>
        </w:rPr>
      </w:pPr>
      <w:r>
        <w:rPr>
          <w:rFonts w:ascii="Arial" w:hAnsi="Arial"/>
          <w:b/>
          <w:sz w:val="18"/>
          <w:szCs w:val="18"/>
          <w:u w:val="single"/>
        </w:rPr>
        <w:t>AFFISSIONE</w:t>
      </w:r>
    </w:p>
    <w:p w14:paraId="11BD9767" w14:textId="3D69E88A" w:rsidR="00A33C9C" w:rsidRPr="008526E4" w:rsidRDefault="00A33C9C" w:rsidP="00A33C9C">
      <w:pPr>
        <w:ind w:left="1134"/>
        <w:jc w:val="both"/>
        <w:rPr>
          <w:rFonts w:ascii="Arial" w:hAnsi="Arial" w:cs="Arial"/>
          <w:sz w:val="18"/>
          <w:szCs w:val="18"/>
        </w:rPr>
      </w:pPr>
      <w:r>
        <w:rPr>
          <w:rFonts w:ascii="Arial" w:hAnsi="Arial"/>
          <w:sz w:val="18"/>
          <w:szCs w:val="18"/>
        </w:rPr>
        <w:t xml:space="preserve">Il fatturato rideterminato del primo semestre </w:t>
      </w:r>
      <w:r w:rsidR="00AB6DBA">
        <w:rPr>
          <w:rFonts w:ascii="Arial" w:hAnsi="Arial"/>
          <w:sz w:val="18"/>
          <w:szCs w:val="18"/>
        </w:rPr>
        <w:t xml:space="preserve">del </w:t>
      </w:r>
      <w:r>
        <w:rPr>
          <w:rFonts w:ascii="Arial" w:hAnsi="Arial"/>
          <w:sz w:val="18"/>
          <w:szCs w:val="18"/>
        </w:rPr>
        <w:t xml:space="preserve">2019 è in aumento del +13,9% attestandosi a 274,7 milioni di euro, -3,8% in organico. La crescita di cui sopra ha tratto beneficio dal contributo di APN Outdoor. In organico, l'Europa (compresi Francia e Regno Unito) e il Resto del </w:t>
      </w:r>
      <w:r w:rsidR="002676A6">
        <w:rPr>
          <w:rFonts w:ascii="Arial" w:hAnsi="Arial"/>
          <w:sz w:val="18"/>
          <w:szCs w:val="18"/>
        </w:rPr>
        <w:t>M</w:t>
      </w:r>
      <w:r>
        <w:rPr>
          <w:rFonts w:ascii="Arial" w:hAnsi="Arial"/>
          <w:sz w:val="18"/>
          <w:szCs w:val="18"/>
        </w:rPr>
        <w:t>ondo sono in diminuzione. Il Nord America presenta una crescita a due cifre.</w:t>
      </w:r>
    </w:p>
    <w:p w14:paraId="3166089C" w14:textId="77777777" w:rsidR="00A33C9C" w:rsidRPr="00D14232" w:rsidRDefault="00A33C9C" w:rsidP="00A33C9C">
      <w:pPr>
        <w:ind w:left="1134"/>
        <w:jc w:val="both"/>
        <w:rPr>
          <w:rFonts w:ascii="Arial" w:hAnsi="Arial" w:cs="Arial"/>
          <w:sz w:val="18"/>
          <w:szCs w:val="18"/>
        </w:rPr>
      </w:pPr>
    </w:p>
    <w:p w14:paraId="3265195F" w14:textId="2DD05F1B" w:rsidR="00A33C9C" w:rsidRPr="000277E3" w:rsidRDefault="00A33C9C" w:rsidP="00A33C9C">
      <w:pPr>
        <w:ind w:left="1134"/>
        <w:jc w:val="both"/>
        <w:rPr>
          <w:rFonts w:ascii="Arial" w:hAnsi="Arial" w:cs="Arial"/>
          <w:sz w:val="18"/>
          <w:szCs w:val="18"/>
        </w:rPr>
      </w:pPr>
      <w:r>
        <w:rPr>
          <w:rFonts w:ascii="Arial" w:hAnsi="Arial"/>
          <w:sz w:val="18"/>
          <w:szCs w:val="18"/>
        </w:rPr>
        <w:t>Nel secondo trimestre, il fatturato rideterminato è aumentato del +13,7% attestandosi a 147,0 milioni di euro</w:t>
      </w:r>
      <w:r w:rsidR="006E466C">
        <w:rPr>
          <w:rFonts w:ascii="Arial" w:hAnsi="Arial"/>
          <w:sz w:val="18"/>
          <w:szCs w:val="18"/>
        </w:rPr>
        <w:t xml:space="preserve">. In organico, il fatturato è in calo del </w:t>
      </w:r>
      <w:r>
        <w:rPr>
          <w:rFonts w:ascii="Arial" w:hAnsi="Arial"/>
          <w:sz w:val="18"/>
          <w:szCs w:val="18"/>
        </w:rPr>
        <w:t xml:space="preserve">-3,1% rispetto </w:t>
      </w:r>
      <w:r w:rsidR="006E466C">
        <w:rPr>
          <w:rFonts w:ascii="Arial" w:hAnsi="Arial"/>
          <w:sz w:val="18"/>
          <w:szCs w:val="18"/>
        </w:rPr>
        <w:t xml:space="preserve">allo stesso periodo </w:t>
      </w:r>
      <w:r>
        <w:rPr>
          <w:rFonts w:ascii="Arial" w:hAnsi="Arial"/>
          <w:sz w:val="18"/>
          <w:szCs w:val="18"/>
        </w:rPr>
        <w:t>dell’anno scorso.</w:t>
      </w:r>
    </w:p>
    <w:p w14:paraId="6B8B1D09" w14:textId="77777777" w:rsidR="00A33C9C" w:rsidRPr="00D14232" w:rsidRDefault="00A33C9C" w:rsidP="00A33C9C">
      <w:pPr>
        <w:ind w:left="1134"/>
        <w:jc w:val="both"/>
        <w:rPr>
          <w:rFonts w:ascii="Arial" w:hAnsi="Arial" w:cs="Arial"/>
          <w:sz w:val="18"/>
          <w:szCs w:val="18"/>
        </w:rPr>
      </w:pPr>
    </w:p>
    <w:p w14:paraId="52E5E611" w14:textId="77777777" w:rsidR="00A33C9C" w:rsidRPr="000277E3" w:rsidRDefault="00A33C9C" w:rsidP="00A33C9C">
      <w:pPr>
        <w:spacing w:after="60"/>
        <w:ind w:left="1134"/>
        <w:jc w:val="both"/>
        <w:rPr>
          <w:rFonts w:ascii="Arial" w:hAnsi="Arial" w:cs="Arial"/>
          <w:b/>
          <w:sz w:val="18"/>
          <w:szCs w:val="18"/>
          <w:u w:val="single"/>
        </w:rPr>
      </w:pPr>
      <w:r>
        <w:rPr>
          <w:rFonts w:ascii="Arial" w:hAnsi="Arial"/>
          <w:b/>
          <w:sz w:val="18"/>
          <w:szCs w:val="18"/>
          <w:u w:val="single"/>
        </w:rPr>
        <w:t>MARGINE OPERATIVO RIDETERMINATO</w:t>
      </w:r>
      <w:r>
        <w:rPr>
          <w:rFonts w:ascii="Arial" w:hAnsi="Arial"/>
          <w:b/>
          <w:sz w:val="18"/>
          <w:szCs w:val="18"/>
        </w:rPr>
        <w:t xml:space="preserve"> </w:t>
      </w:r>
      <w:r>
        <w:rPr>
          <w:rFonts w:ascii="Arial" w:hAnsi="Arial"/>
          <w:b/>
          <w:sz w:val="18"/>
          <w:szCs w:val="18"/>
          <w:vertAlign w:val="superscript"/>
        </w:rPr>
        <w:t>(1)</w:t>
      </w:r>
    </w:p>
    <w:p w14:paraId="58B8077F" w14:textId="050C60D7" w:rsidR="00A33C9C" w:rsidRPr="000277E3" w:rsidRDefault="00A33C9C" w:rsidP="00A33C9C">
      <w:pPr>
        <w:ind w:left="1134"/>
        <w:jc w:val="both"/>
        <w:rPr>
          <w:rFonts w:ascii="Arial" w:hAnsi="Arial" w:cs="Arial"/>
          <w:sz w:val="18"/>
          <w:szCs w:val="18"/>
        </w:rPr>
      </w:pPr>
      <w:r>
        <w:rPr>
          <w:rFonts w:ascii="Arial" w:hAnsi="Arial"/>
          <w:sz w:val="18"/>
          <w:szCs w:val="18"/>
        </w:rPr>
        <w:t xml:space="preserve">Nel primo semestre </w:t>
      </w:r>
      <w:r w:rsidR="00AB6DBA">
        <w:rPr>
          <w:rFonts w:ascii="Arial" w:hAnsi="Arial"/>
          <w:sz w:val="18"/>
          <w:szCs w:val="18"/>
        </w:rPr>
        <w:t xml:space="preserve">del </w:t>
      </w:r>
      <w:r>
        <w:rPr>
          <w:rFonts w:ascii="Arial" w:hAnsi="Arial"/>
          <w:sz w:val="18"/>
          <w:szCs w:val="18"/>
        </w:rPr>
        <w:t xml:space="preserve">2019 il margine operativo rideterminato del Gruppo aumenta del +29,4% a 306,4 milioni di euro contro i 236,7 milioni di euro del primo semestre </w:t>
      </w:r>
      <w:r w:rsidR="00AB6DBA">
        <w:rPr>
          <w:rFonts w:ascii="Arial" w:hAnsi="Arial"/>
          <w:sz w:val="18"/>
          <w:szCs w:val="18"/>
        </w:rPr>
        <w:t xml:space="preserve">del </w:t>
      </w:r>
      <w:r>
        <w:rPr>
          <w:rFonts w:ascii="Arial" w:hAnsi="Arial"/>
          <w:sz w:val="18"/>
          <w:szCs w:val="18"/>
        </w:rPr>
        <w:t>2018. Il margine operativo rideterminato rappresenta il 16,6% del fatturato, vale a dire +220 punti base rispetto all’anno scorso.</w:t>
      </w:r>
    </w:p>
    <w:p w14:paraId="27046D81" w14:textId="77777777" w:rsidR="00A33C9C" w:rsidRPr="00D14232" w:rsidRDefault="00A33C9C" w:rsidP="00A33C9C">
      <w:pPr>
        <w:ind w:left="1134"/>
        <w:jc w:val="both"/>
        <w:rPr>
          <w:rFonts w:ascii="Arial" w:hAnsi="Arial" w:cs="Arial"/>
          <w:sz w:val="18"/>
          <w:szCs w:val="18"/>
        </w:rPr>
      </w:pPr>
    </w:p>
    <w:tbl>
      <w:tblPr>
        <w:tblW w:w="785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907"/>
        <w:gridCol w:w="1191"/>
        <w:gridCol w:w="907"/>
        <w:gridCol w:w="1191"/>
        <w:gridCol w:w="1119"/>
        <w:gridCol w:w="979"/>
      </w:tblGrid>
      <w:tr w:rsidR="00A33C9C" w:rsidRPr="000277E3" w14:paraId="433724AA" w14:textId="77777777" w:rsidTr="002F6E65">
        <w:trPr>
          <w:trHeight w:val="244"/>
        </w:trPr>
        <w:tc>
          <w:tcPr>
            <w:tcW w:w="1559" w:type="dxa"/>
            <w:tcBorders>
              <w:top w:val="nil"/>
              <w:left w:val="nil"/>
            </w:tcBorders>
          </w:tcPr>
          <w:p w14:paraId="6FE9A396" w14:textId="77777777" w:rsidR="00A33C9C" w:rsidRPr="00D14232" w:rsidRDefault="00A33C9C" w:rsidP="00A33C9C">
            <w:pPr>
              <w:rPr>
                <w:rFonts w:ascii="Arial" w:hAnsi="Arial" w:cs="Arial"/>
                <w:b/>
                <w:sz w:val="18"/>
                <w:szCs w:val="18"/>
              </w:rPr>
            </w:pPr>
          </w:p>
        </w:tc>
        <w:tc>
          <w:tcPr>
            <w:tcW w:w="2098" w:type="dxa"/>
            <w:gridSpan w:val="2"/>
            <w:tcBorders>
              <w:right w:val="single" w:sz="12" w:space="0" w:color="auto"/>
            </w:tcBorders>
            <w:vAlign w:val="center"/>
          </w:tcPr>
          <w:p w14:paraId="71359465" w14:textId="77777777" w:rsidR="00A33C9C" w:rsidRPr="000277E3" w:rsidRDefault="00B25AD2" w:rsidP="00A33C9C">
            <w:pPr>
              <w:jc w:val="center"/>
              <w:rPr>
                <w:rFonts w:ascii="Arial" w:hAnsi="Arial" w:cs="Arial"/>
                <w:b/>
                <w:bCs/>
                <w:sz w:val="18"/>
                <w:szCs w:val="18"/>
              </w:rPr>
            </w:pPr>
            <w:r>
              <w:rPr>
                <w:rFonts w:ascii="Arial" w:hAnsi="Arial"/>
                <w:b/>
                <w:bCs/>
                <w:sz w:val="18"/>
                <w:szCs w:val="18"/>
              </w:rPr>
              <w:t>S1 2019</w:t>
            </w:r>
          </w:p>
        </w:tc>
        <w:tc>
          <w:tcPr>
            <w:tcW w:w="2098" w:type="dxa"/>
            <w:gridSpan w:val="2"/>
            <w:tcBorders>
              <w:top w:val="single" w:sz="4" w:space="0" w:color="auto"/>
              <w:left w:val="single" w:sz="12" w:space="0" w:color="auto"/>
              <w:bottom w:val="single" w:sz="4" w:space="0" w:color="auto"/>
              <w:right w:val="single" w:sz="12" w:space="0" w:color="auto"/>
            </w:tcBorders>
            <w:vAlign w:val="center"/>
          </w:tcPr>
          <w:p w14:paraId="2F8ADDE7" w14:textId="77777777" w:rsidR="00A33C9C" w:rsidRPr="000277E3" w:rsidRDefault="00B25AD2" w:rsidP="00A33C9C">
            <w:pPr>
              <w:jc w:val="center"/>
              <w:rPr>
                <w:rFonts w:ascii="Arial" w:hAnsi="Arial" w:cs="Arial"/>
                <w:b/>
                <w:bCs/>
                <w:sz w:val="18"/>
                <w:szCs w:val="18"/>
              </w:rPr>
            </w:pPr>
            <w:r>
              <w:rPr>
                <w:rFonts w:ascii="Arial" w:hAnsi="Arial"/>
                <w:b/>
                <w:bCs/>
                <w:sz w:val="18"/>
                <w:szCs w:val="18"/>
              </w:rPr>
              <w:t>S1 2018</w:t>
            </w:r>
          </w:p>
        </w:tc>
        <w:tc>
          <w:tcPr>
            <w:tcW w:w="2098" w:type="dxa"/>
            <w:gridSpan w:val="2"/>
            <w:tcBorders>
              <w:left w:val="single" w:sz="12" w:space="0" w:color="auto"/>
            </w:tcBorders>
            <w:vAlign w:val="center"/>
          </w:tcPr>
          <w:p w14:paraId="7D6FC074" w14:textId="77777777" w:rsidR="00A33C9C" w:rsidRPr="000277E3" w:rsidRDefault="00A33C9C" w:rsidP="00A33C9C">
            <w:pPr>
              <w:jc w:val="center"/>
              <w:rPr>
                <w:rFonts w:ascii="Arial" w:hAnsi="Arial" w:cs="Arial"/>
                <w:b/>
                <w:bCs/>
                <w:sz w:val="18"/>
                <w:szCs w:val="18"/>
              </w:rPr>
            </w:pPr>
            <w:r>
              <w:rPr>
                <w:rFonts w:ascii="Arial" w:hAnsi="Arial"/>
                <w:b/>
                <w:bCs/>
                <w:sz w:val="18"/>
                <w:szCs w:val="18"/>
              </w:rPr>
              <w:t>Variazione 19/18</w:t>
            </w:r>
          </w:p>
        </w:tc>
      </w:tr>
      <w:tr w:rsidR="00A33C9C" w:rsidRPr="000277E3" w14:paraId="4F2CF998" w14:textId="77777777" w:rsidTr="00237137">
        <w:trPr>
          <w:trHeight w:val="533"/>
        </w:trPr>
        <w:tc>
          <w:tcPr>
            <w:tcW w:w="1559" w:type="dxa"/>
            <w:vAlign w:val="center"/>
          </w:tcPr>
          <w:p w14:paraId="358677C8" w14:textId="77777777" w:rsidR="00A33C9C" w:rsidRPr="000277E3" w:rsidRDefault="00A33C9C" w:rsidP="00A33C9C">
            <w:pPr>
              <w:rPr>
                <w:rFonts w:ascii="Arial" w:hAnsi="Arial" w:cs="Arial"/>
                <w:b/>
                <w:sz w:val="18"/>
                <w:szCs w:val="18"/>
                <w:lang w:val="fr-FR"/>
              </w:rPr>
            </w:pPr>
          </w:p>
        </w:tc>
        <w:tc>
          <w:tcPr>
            <w:tcW w:w="907" w:type="dxa"/>
            <w:vAlign w:val="center"/>
          </w:tcPr>
          <w:p w14:paraId="02AE0E53" w14:textId="77777777" w:rsidR="00A33C9C" w:rsidRPr="000277E3" w:rsidRDefault="00A33C9C" w:rsidP="00A33C9C">
            <w:pPr>
              <w:jc w:val="center"/>
              <w:rPr>
                <w:rFonts w:ascii="Arial" w:hAnsi="Arial" w:cs="Arial"/>
                <w:position w:val="-30"/>
                <w:sz w:val="18"/>
                <w:szCs w:val="18"/>
              </w:rPr>
            </w:pPr>
            <w:r>
              <w:rPr>
                <w:rFonts w:ascii="Arial" w:hAnsi="Arial"/>
                <w:b/>
                <w:bCs/>
                <w:sz w:val="18"/>
                <w:szCs w:val="18"/>
              </w:rPr>
              <w:t>m€</w:t>
            </w:r>
          </w:p>
        </w:tc>
        <w:tc>
          <w:tcPr>
            <w:tcW w:w="1191" w:type="dxa"/>
            <w:tcBorders>
              <w:right w:val="single" w:sz="12" w:space="0" w:color="auto"/>
            </w:tcBorders>
            <w:vAlign w:val="center"/>
          </w:tcPr>
          <w:p w14:paraId="6A683162" w14:textId="77777777" w:rsidR="00A33C9C" w:rsidRPr="000277E3" w:rsidRDefault="00A33C9C" w:rsidP="00A33C9C">
            <w:pPr>
              <w:jc w:val="center"/>
              <w:rPr>
                <w:rFonts w:ascii="Arial" w:hAnsi="Arial" w:cs="Arial"/>
                <w:b/>
                <w:bCs/>
                <w:sz w:val="18"/>
                <w:szCs w:val="18"/>
              </w:rPr>
            </w:pPr>
            <w:r>
              <w:rPr>
                <w:rFonts w:ascii="Arial" w:hAnsi="Arial"/>
                <w:b/>
                <w:bCs/>
                <w:sz w:val="18"/>
                <w:szCs w:val="18"/>
              </w:rPr>
              <w:t>% del fatturato</w:t>
            </w:r>
          </w:p>
        </w:tc>
        <w:tc>
          <w:tcPr>
            <w:tcW w:w="907" w:type="dxa"/>
            <w:tcBorders>
              <w:top w:val="single" w:sz="4" w:space="0" w:color="auto"/>
              <w:left w:val="single" w:sz="12" w:space="0" w:color="auto"/>
              <w:bottom w:val="single" w:sz="4" w:space="0" w:color="auto"/>
            </w:tcBorders>
            <w:vAlign w:val="center"/>
          </w:tcPr>
          <w:p w14:paraId="3A3B7564" w14:textId="77777777" w:rsidR="00A33C9C" w:rsidRPr="000277E3" w:rsidRDefault="00A33C9C" w:rsidP="00A33C9C">
            <w:pPr>
              <w:jc w:val="center"/>
              <w:rPr>
                <w:rFonts w:ascii="Arial" w:hAnsi="Arial" w:cs="Arial"/>
                <w:b/>
                <w:bCs/>
                <w:sz w:val="18"/>
                <w:szCs w:val="18"/>
              </w:rPr>
            </w:pPr>
            <w:r>
              <w:rPr>
                <w:rFonts w:ascii="Arial" w:hAnsi="Arial"/>
                <w:b/>
                <w:bCs/>
                <w:sz w:val="18"/>
                <w:szCs w:val="18"/>
              </w:rPr>
              <w:t>m€</w:t>
            </w:r>
          </w:p>
        </w:tc>
        <w:tc>
          <w:tcPr>
            <w:tcW w:w="1191" w:type="dxa"/>
            <w:tcBorders>
              <w:top w:val="single" w:sz="4" w:space="0" w:color="auto"/>
              <w:bottom w:val="single" w:sz="4" w:space="0" w:color="auto"/>
              <w:right w:val="single" w:sz="12" w:space="0" w:color="auto"/>
            </w:tcBorders>
            <w:vAlign w:val="center"/>
          </w:tcPr>
          <w:p w14:paraId="16134051" w14:textId="77777777" w:rsidR="00A33C9C" w:rsidRPr="000277E3" w:rsidRDefault="00A33C9C" w:rsidP="00A33C9C">
            <w:pPr>
              <w:jc w:val="center"/>
              <w:rPr>
                <w:rFonts w:ascii="Arial" w:hAnsi="Arial" w:cs="Arial"/>
                <w:b/>
                <w:bCs/>
                <w:sz w:val="18"/>
                <w:szCs w:val="18"/>
              </w:rPr>
            </w:pPr>
            <w:r>
              <w:rPr>
                <w:rFonts w:ascii="Arial" w:hAnsi="Arial"/>
                <w:b/>
                <w:bCs/>
                <w:sz w:val="18"/>
                <w:szCs w:val="18"/>
              </w:rPr>
              <w:t>% del fatturato</w:t>
            </w:r>
          </w:p>
        </w:tc>
        <w:tc>
          <w:tcPr>
            <w:tcW w:w="1119" w:type="dxa"/>
            <w:tcBorders>
              <w:left w:val="single" w:sz="12" w:space="0" w:color="auto"/>
            </w:tcBorders>
            <w:vAlign w:val="center"/>
          </w:tcPr>
          <w:p w14:paraId="7B9725BC" w14:textId="77777777" w:rsidR="00A33C9C" w:rsidRPr="000277E3" w:rsidRDefault="00A33C9C" w:rsidP="00A33C9C">
            <w:pPr>
              <w:jc w:val="center"/>
              <w:rPr>
                <w:rFonts w:ascii="Arial" w:hAnsi="Arial" w:cs="Arial"/>
                <w:b/>
                <w:bCs/>
                <w:sz w:val="18"/>
                <w:szCs w:val="18"/>
              </w:rPr>
            </w:pPr>
            <w:r>
              <w:rPr>
                <w:rFonts w:ascii="Arial" w:hAnsi="Arial"/>
                <w:b/>
                <w:bCs/>
                <w:sz w:val="18"/>
                <w:szCs w:val="18"/>
              </w:rPr>
              <w:t>Variazione (%)</w:t>
            </w:r>
          </w:p>
        </w:tc>
        <w:tc>
          <w:tcPr>
            <w:tcW w:w="979" w:type="dxa"/>
            <w:vAlign w:val="center"/>
          </w:tcPr>
          <w:p w14:paraId="708F93FB" w14:textId="43C1DE05" w:rsidR="00A33C9C" w:rsidRPr="000277E3" w:rsidRDefault="00F119FF" w:rsidP="00A33C9C">
            <w:pPr>
              <w:jc w:val="center"/>
              <w:rPr>
                <w:rFonts w:ascii="Arial" w:hAnsi="Arial" w:cs="Arial"/>
                <w:b/>
                <w:bCs/>
                <w:sz w:val="18"/>
                <w:szCs w:val="18"/>
              </w:rPr>
            </w:pPr>
            <w:r>
              <w:rPr>
                <w:rFonts w:ascii="Arial" w:hAnsi="Arial"/>
                <w:b/>
                <w:bCs/>
                <w:sz w:val="18"/>
                <w:szCs w:val="18"/>
              </w:rPr>
              <w:t>Tasso</w:t>
            </w:r>
            <w:r w:rsidR="00A33C9C">
              <w:rPr>
                <w:rFonts w:ascii="Arial" w:hAnsi="Arial"/>
                <w:b/>
                <w:bCs/>
                <w:sz w:val="18"/>
                <w:szCs w:val="18"/>
              </w:rPr>
              <w:t xml:space="preserve"> di margine (pb)</w:t>
            </w:r>
          </w:p>
        </w:tc>
      </w:tr>
      <w:tr w:rsidR="007C520A" w:rsidRPr="000277E3" w14:paraId="4F4778B9" w14:textId="77777777" w:rsidTr="00237137">
        <w:trPr>
          <w:trHeight w:val="284"/>
        </w:trPr>
        <w:tc>
          <w:tcPr>
            <w:tcW w:w="1559" w:type="dxa"/>
            <w:vAlign w:val="center"/>
          </w:tcPr>
          <w:p w14:paraId="0B702E57" w14:textId="230AD97D" w:rsidR="007C520A" w:rsidRPr="000277E3" w:rsidRDefault="007C520A" w:rsidP="007C520A">
            <w:pPr>
              <w:rPr>
                <w:rFonts w:ascii="Arial" w:hAnsi="Arial" w:cs="Arial"/>
                <w:sz w:val="18"/>
                <w:szCs w:val="18"/>
              </w:rPr>
            </w:pPr>
            <w:r>
              <w:rPr>
                <w:rFonts w:ascii="Arial" w:hAnsi="Arial"/>
                <w:sz w:val="18"/>
                <w:szCs w:val="18"/>
              </w:rPr>
              <w:t xml:space="preserve">Arredo </w:t>
            </w:r>
            <w:r w:rsidR="002676A6">
              <w:rPr>
                <w:rFonts w:ascii="Arial" w:hAnsi="Arial"/>
                <w:sz w:val="18"/>
                <w:szCs w:val="18"/>
              </w:rPr>
              <w:t>U</w:t>
            </w:r>
            <w:r>
              <w:rPr>
                <w:rFonts w:ascii="Arial" w:hAnsi="Arial"/>
                <w:sz w:val="18"/>
                <w:szCs w:val="18"/>
              </w:rPr>
              <w:t xml:space="preserve">rbano </w:t>
            </w:r>
          </w:p>
        </w:tc>
        <w:tc>
          <w:tcPr>
            <w:tcW w:w="907" w:type="dxa"/>
            <w:vAlign w:val="center"/>
          </w:tcPr>
          <w:p w14:paraId="69AE6538" w14:textId="77777777" w:rsidR="007C520A" w:rsidRPr="000277E3" w:rsidRDefault="007C520A" w:rsidP="007C520A">
            <w:pPr>
              <w:jc w:val="right"/>
              <w:rPr>
                <w:rFonts w:ascii="Arial" w:hAnsi="Arial" w:cs="Arial"/>
                <w:sz w:val="18"/>
                <w:szCs w:val="18"/>
              </w:rPr>
            </w:pPr>
            <w:r>
              <w:rPr>
                <w:rFonts w:ascii="Arial" w:hAnsi="Arial"/>
                <w:sz w:val="18"/>
                <w:szCs w:val="18"/>
              </w:rPr>
              <w:t>176,1</w:t>
            </w:r>
          </w:p>
        </w:tc>
        <w:tc>
          <w:tcPr>
            <w:tcW w:w="1191" w:type="dxa"/>
            <w:tcBorders>
              <w:right w:val="single" w:sz="12" w:space="0" w:color="auto"/>
            </w:tcBorders>
            <w:vAlign w:val="center"/>
          </w:tcPr>
          <w:p w14:paraId="626DF639" w14:textId="77777777" w:rsidR="007C520A" w:rsidRPr="000277E3" w:rsidRDefault="007C520A" w:rsidP="007C520A">
            <w:pPr>
              <w:jc w:val="right"/>
              <w:rPr>
                <w:rFonts w:ascii="Arial" w:hAnsi="Arial" w:cs="Arial"/>
                <w:sz w:val="18"/>
                <w:szCs w:val="18"/>
              </w:rPr>
            </w:pPr>
            <w:r>
              <w:rPr>
                <w:rFonts w:ascii="Arial" w:hAnsi="Arial"/>
                <w:sz w:val="18"/>
                <w:szCs w:val="18"/>
              </w:rPr>
              <w:t>22,3%</w:t>
            </w:r>
          </w:p>
        </w:tc>
        <w:tc>
          <w:tcPr>
            <w:tcW w:w="907" w:type="dxa"/>
            <w:tcBorders>
              <w:top w:val="single" w:sz="4" w:space="0" w:color="auto"/>
              <w:left w:val="single" w:sz="12" w:space="0" w:color="auto"/>
              <w:bottom w:val="single" w:sz="4" w:space="0" w:color="auto"/>
            </w:tcBorders>
            <w:vAlign w:val="center"/>
          </w:tcPr>
          <w:p w14:paraId="2F8BE397" w14:textId="77777777" w:rsidR="007C520A" w:rsidRPr="000277E3" w:rsidRDefault="007C520A" w:rsidP="007C520A">
            <w:pPr>
              <w:jc w:val="right"/>
              <w:rPr>
                <w:rFonts w:ascii="Arial" w:hAnsi="Arial" w:cs="Arial"/>
                <w:sz w:val="18"/>
                <w:szCs w:val="18"/>
              </w:rPr>
            </w:pPr>
            <w:r>
              <w:rPr>
                <w:rFonts w:ascii="Arial" w:hAnsi="Arial"/>
                <w:sz w:val="18"/>
                <w:szCs w:val="18"/>
              </w:rPr>
              <w:t>163,3</w:t>
            </w:r>
          </w:p>
        </w:tc>
        <w:tc>
          <w:tcPr>
            <w:tcW w:w="1191" w:type="dxa"/>
            <w:tcBorders>
              <w:top w:val="single" w:sz="4" w:space="0" w:color="auto"/>
              <w:bottom w:val="single" w:sz="4" w:space="0" w:color="auto"/>
              <w:right w:val="single" w:sz="12" w:space="0" w:color="auto"/>
            </w:tcBorders>
            <w:vAlign w:val="center"/>
          </w:tcPr>
          <w:p w14:paraId="24A6ED80" w14:textId="77777777" w:rsidR="007C520A" w:rsidRPr="000277E3" w:rsidRDefault="007C520A" w:rsidP="007C520A">
            <w:pPr>
              <w:jc w:val="right"/>
              <w:rPr>
                <w:rFonts w:ascii="Arial" w:hAnsi="Arial" w:cs="Arial"/>
                <w:sz w:val="18"/>
                <w:szCs w:val="18"/>
              </w:rPr>
            </w:pPr>
            <w:r>
              <w:rPr>
                <w:rFonts w:ascii="Arial" w:hAnsi="Arial"/>
                <w:sz w:val="18"/>
                <w:szCs w:val="18"/>
              </w:rPr>
              <w:t>22,0%</w:t>
            </w:r>
          </w:p>
        </w:tc>
        <w:tc>
          <w:tcPr>
            <w:tcW w:w="1119" w:type="dxa"/>
            <w:tcBorders>
              <w:left w:val="single" w:sz="12" w:space="0" w:color="auto"/>
            </w:tcBorders>
            <w:vAlign w:val="center"/>
          </w:tcPr>
          <w:p w14:paraId="32F21294" w14:textId="77777777" w:rsidR="007C520A" w:rsidRPr="000277E3" w:rsidRDefault="007C520A" w:rsidP="007C520A">
            <w:pPr>
              <w:jc w:val="right"/>
              <w:rPr>
                <w:rFonts w:ascii="Arial" w:hAnsi="Arial" w:cs="Arial"/>
                <w:sz w:val="18"/>
                <w:szCs w:val="18"/>
              </w:rPr>
            </w:pPr>
            <w:r>
              <w:rPr>
                <w:rFonts w:ascii="Arial" w:hAnsi="Arial"/>
                <w:sz w:val="18"/>
                <w:szCs w:val="18"/>
              </w:rPr>
              <w:t>+7,8%</w:t>
            </w:r>
          </w:p>
        </w:tc>
        <w:tc>
          <w:tcPr>
            <w:tcW w:w="979" w:type="dxa"/>
            <w:vAlign w:val="center"/>
          </w:tcPr>
          <w:p w14:paraId="0BBF91C2" w14:textId="77777777" w:rsidR="007C520A" w:rsidRPr="000277E3" w:rsidRDefault="007C520A" w:rsidP="007C520A">
            <w:pPr>
              <w:jc w:val="right"/>
              <w:rPr>
                <w:rFonts w:ascii="Arial" w:hAnsi="Arial" w:cs="Arial"/>
                <w:sz w:val="18"/>
                <w:szCs w:val="18"/>
              </w:rPr>
            </w:pPr>
            <w:r>
              <w:rPr>
                <w:rFonts w:ascii="Arial" w:hAnsi="Arial"/>
                <w:sz w:val="18"/>
                <w:szCs w:val="18"/>
              </w:rPr>
              <w:t>+30pb</w:t>
            </w:r>
          </w:p>
        </w:tc>
      </w:tr>
      <w:tr w:rsidR="007C520A" w:rsidRPr="000277E3" w14:paraId="69BD0E4F" w14:textId="77777777" w:rsidTr="00237137">
        <w:trPr>
          <w:trHeight w:val="284"/>
        </w:trPr>
        <w:tc>
          <w:tcPr>
            <w:tcW w:w="1559" w:type="dxa"/>
            <w:vAlign w:val="center"/>
          </w:tcPr>
          <w:p w14:paraId="03EF225C" w14:textId="724664B4" w:rsidR="007C520A" w:rsidRPr="000277E3" w:rsidRDefault="007C520A" w:rsidP="007C520A">
            <w:pPr>
              <w:rPr>
                <w:rFonts w:ascii="Arial" w:hAnsi="Arial" w:cs="Arial"/>
                <w:sz w:val="18"/>
                <w:szCs w:val="18"/>
              </w:rPr>
            </w:pPr>
            <w:r>
              <w:rPr>
                <w:rFonts w:ascii="Arial" w:hAnsi="Arial"/>
                <w:sz w:val="18"/>
                <w:szCs w:val="18"/>
              </w:rPr>
              <w:t>Trasport</w:t>
            </w:r>
            <w:r w:rsidR="004167A8">
              <w:rPr>
                <w:rFonts w:ascii="Arial" w:hAnsi="Arial"/>
                <w:sz w:val="18"/>
                <w:szCs w:val="18"/>
              </w:rPr>
              <w:t>i</w:t>
            </w:r>
          </w:p>
        </w:tc>
        <w:tc>
          <w:tcPr>
            <w:tcW w:w="907" w:type="dxa"/>
            <w:vAlign w:val="center"/>
          </w:tcPr>
          <w:p w14:paraId="0805CC09" w14:textId="77777777" w:rsidR="007C520A" w:rsidRPr="000277E3" w:rsidRDefault="007C520A" w:rsidP="007C520A">
            <w:pPr>
              <w:jc w:val="right"/>
              <w:rPr>
                <w:rFonts w:ascii="Arial" w:hAnsi="Arial" w:cs="Arial"/>
                <w:sz w:val="18"/>
                <w:szCs w:val="18"/>
              </w:rPr>
            </w:pPr>
            <w:r>
              <w:rPr>
                <w:rFonts w:ascii="Arial" w:hAnsi="Arial"/>
                <w:sz w:val="18"/>
                <w:szCs w:val="18"/>
              </w:rPr>
              <w:t>107,2</w:t>
            </w:r>
          </w:p>
        </w:tc>
        <w:tc>
          <w:tcPr>
            <w:tcW w:w="1191" w:type="dxa"/>
            <w:tcBorders>
              <w:right w:val="single" w:sz="12" w:space="0" w:color="auto"/>
            </w:tcBorders>
            <w:vAlign w:val="center"/>
          </w:tcPr>
          <w:p w14:paraId="617139FA" w14:textId="77777777" w:rsidR="007C520A" w:rsidRPr="000277E3" w:rsidRDefault="007C520A" w:rsidP="007C520A">
            <w:pPr>
              <w:jc w:val="right"/>
              <w:rPr>
                <w:rFonts w:ascii="Arial" w:hAnsi="Arial" w:cs="Arial"/>
                <w:sz w:val="18"/>
                <w:szCs w:val="18"/>
              </w:rPr>
            </w:pPr>
            <w:r>
              <w:rPr>
                <w:rFonts w:ascii="Arial" w:hAnsi="Arial"/>
                <w:sz w:val="18"/>
                <w:szCs w:val="18"/>
              </w:rPr>
              <w:t>13,8%</w:t>
            </w:r>
          </w:p>
        </w:tc>
        <w:tc>
          <w:tcPr>
            <w:tcW w:w="907" w:type="dxa"/>
            <w:tcBorders>
              <w:top w:val="single" w:sz="4" w:space="0" w:color="auto"/>
              <w:left w:val="single" w:sz="12" w:space="0" w:color="auto"/>
              <w:bottom w:val="single" w:sz="4" w:space="0" w:color="auto"/>
            </w:tcBorders>
            <w:vAlign w:val="center"/>
          </w:tcPr>
          <w:p w14:paraId="4FCA1B50" w14:textId="77777777" w:rsidR="007C520A" w:rsidRPr="000277E3" w:rsidRDefault="007C520A" w:rsidP="007C520A">
            <w:pPr>
              <w:jc w:val="right"/>
              <w:rPr>
                <w:rFonts w:ascii="Arial" w:hAnsi="Arial" w:cs="Arial"/>
                <w:sz w:val="18"/>
                <w:szCs w:val="18"/>
              </w:rPr>
            </w:pPr>
            <w:r>
              <w:rPr>
                <w:rFonts w:ascii="Arial" w:hAnsi="Arial"/>
                <w:sz w:val="18"/>
                <w:szCs w:val="18"/>
              </w:rPr>
              <w:t>58,2</w:t>
            </w:r>
          </w:p>
        </w:tc>
        <w:tc>
          <w:tcPr>
            <w:tcW w:w="1191" w:type="dxa"/>
            <w:tcBorders>
              <w:top w:val="single" w:sz="4" w:space="0" w:color="auto"/>
              <w:bottom w:val="single" w:sz="4" w:space="0" w:color="auto"/>
              <w:right w:val="single" w:sz="12" w:space="0" w:color="auto"/>
            </w:tcBorders>
            <w:vAlign w:val="center"/>
          </w:tcPr>
          <w:p w14:paraId="1786B0B2" w14:textId="77777777" w:rsidR="007C520A" w:rsidRPr="000277E3" w:rsidRDefault="007C520A" w:rsidP="007C520A">
            <w:pPr>
              <w:jc w:val="right"/>
              <w:rPr>
                <w:rFonts w:ascii="Arial" w:hAnsi="Arial" w:cs="Arial"/>
                <w:sz w:val="18"/>
                <w:szCs w:val="18"/>
              </w:rPr>
            </w:pPr>
            <w:r>
              <w:rPr>
                <w:rFonts w:ascii="Arial" w:hAnsi="Arial"/>
                <w:sz w:val="18"/>
                <w:szCs w:val="18"/>
              </w:rPr>
              <w:t>8,8%</w:t>
            </w:r>
          </w:p>
        </w:tc>
        <w:tc>
          <w:tcPr>
            <w:tcW w:w="1119" w:type="dxa"/>
            <w:tcBorders>
              <w:left w:val="single" w:sz="12" w:space="0" w:color="auto"/>
            </w:tcBorders>
            <w:vAlign w:val="center"/>
          </w:tcPr>
          <w:p w14:paraId="25354DF8" w14:textId="77777777" w:rsidR="007C520A" w:rsidRPr="000277E3" w:rsidRDefault="007C520A" w:rsidP="007C520A">
            <w:pPr>
              <w:jc w:val="right"/>
              <w:rPr>
                <w:rFonts w:ascii="Arial" w:hAnsi="Arial" w:cs="Arial"/>
                <w:sz w:val="18"/>
                <w:szCs w:val="18"/>
              </w:rPr>
            </w:pPr>
            <w:r>
              <w:rPr>
                <w:rFonts w:ascii="Arial" w:hAnsi="Arial"/>
                <w:sz w:val="18"/>
                <w:szCs w:val="18"/>
              </w:rPr>
              <w:t>+84,2%</w:t>
            </w:r>
          </w:p>
        </w:tc>
        <w:tc>
          <w:tcPr>
            <w:tcW w:w="979" w:type="dxa"/>
            <w:vAlign w:val="center"/>
          </w:tcPr>
          <w:p w14:paraId="08FCEA81" w14:textId="77777777" w:rsidR="007C520A" w:rsidRPr="000277E3" w:rsidRDefault="007C520A" w:rsidP="007C520A">
            <w:pPr>
              <w:jc w:val="right"/>
              <w:rPr>
                <w:rFonts w:ascii="Arial" w:hAnsi="Arial" w:cs="Arial"/>
                <w:sz w:val="18"/>
                <w:szCs w:val="18"/>
              </w:rPr>
            </w:pPr>
            <w:r>
              <w:rPr>
                <w:rFonts w:ascii="Arial" w:hAnsi="Arial"/>
                <w:sz w:val="18"/>
                <w:szCs w:val="18"/>
              </w:rPr>
              <w:t>+500pb</w:t>
            </w:r>
          </w:p>
        </w:tc>
      </w:tr>
      <w:tr w:rsidR="007C520A" w:rsidRPr="000277E3" w14:paraId="1CDB7C9D" w14:textId="77777777" w:rsidTr="00237137">
        <w:trPr>
          <w:trHeight w:val="284"/>
        </w:trPr>
        <w:tc>
          <w:tcPr>
            <w:tcW w:w="1559" w:type="dxa"/>
            <w:vAlign w:val="center"/>
          </w:tcPr>
          <w:p w14:paraId="14DAD66D" w14:textId="01234F5E" w:rsidR="007C520A" w:rsidRPr="000277E3" w:rsidRDefault="00F119FF" w:rsidP="007C520A">
            <w:pPr>
              <w:rPr>
                <w:rFonts w:ascii="Arial" w:hAnsi="Arial" w:cs="Arial"/>
                <w:sz w:val="18"/>
                <w:szCs w:val="18"/>
              </w:rPr>
            </w:pPr>
            <w:r>
              <w:rPr>
                <w:rFonts w:ascii="Arial" w:hAnsi="Arial"/>
                <w:sz w:val="18"/>
                <w:szCs w:val="18"/>
              </w:rPr>
              <w:t>Affissione</w:t>
            </w:r>
          </w:p>
        </w:tc>
        <w:tc>
          <w:tcPr>
            <w:tcW w:w="907" w:type="dxa"/>
            <w:vAlign w:val="center"/>
          </w:tcPr>
          <w:p w14:paraId="2A60D264" w14:textId="77777777" w:rsidR="007C520A" w:rsidRPr="000277E3" w:rsidRDefault="007C520A" w:rsidP="007C520A">
            <w:pPr>
              <w:jc w:val="right"/>
              <w:rPr>
                <w:rFonts w:ascii="Arial" w:hAnsi="Arial" w:cs="Arial"/>
                <w:sz w:val="18"/>
                <w:szCs w:val="18"/>
              </w:rPr>
            </w:pPr>
            <w:r>
              <w:rPr>
                <w:rFonts w:ascii="Arial" w:hAnsi="Arial"/>
                <w:sz w:val="18"/>
                <w:szCs w:val="18"/>
              </w:rPr>
              <w:t>23,1</w:t>
            </w:r>
          </w:p>
        </w:tc>
        <w:tc>
          <w:tcPr>
            <w:tcW w:w="1191" w:type="dxa"/>
            <w:tcBorders>
              <w:right w:val="single" w:sz="12" w:space="0" w:color="auto"/>
            </w:tcBorders>
            <w:vAlign w:val="center"/>
          </w:tcPr>
          <w:p w14:paraId="5F74020B" w14:textId="77777777" w:rsidR="007C520A" w:rsidRPr="000277E3" w:rsidRDefault="007C520A" w:rsidP="007C520A">
            <w:pPr>
              <w:jc w:val="right"/>
              <w:rPr>
                <w:rFonts w:ascii="Arial" w:hAnsi="Arial" w:cs="Arial"/>
                <w:sz w:val="18"/>
                <w:szCs w:val="18"/>
              </w:rPr>
            </w:pPr>
            <w:r>
              <w:rPr>
                <w:rFonts w:ascii="Arial" w:hAnsi="Arial"/>
                <w:sz w:val="18"/>
                <w:szCs w:val="18"/>
              </w:rPr>
              <w:t>8,4%</w:t>
            </w:r>
          </w:p>
        </w:tc>
        <w:tc>
          <w:tcPr>
            <w:tcW w:w="907" w:type="dxa"/>
            <w:tcBorders>
              <w:top w:val="single" w:sz="4" w:space="0" w:color="auto"/>
              <w:left w:val="single" w:sz="12" w:space="0" w:color="auto"/>
              <w:bottom w:val="single" w:sz="4" w:space="0" w:color="auto"/>
            </w:tcBorders>
            <w:vAlign w:val="center"/>
          </w:tcPr>
          <w:p w14:paraId="007F5749" w14:textId="77777777" w:rsidR="007C520A" w:rsidRPr="000277E3" w:rsidRDefault="007C520A" w:rsidP="007C520A">
            <w:pPr>
              <w:jc w:val="right"/>
              <w:rPr>
                <w:rFonts w:ascii="Arial" w:hAnsi="Arial" w:cs="Arial"/>
                <w:sz w:val="18"/>
                <w:szCs w:val="18"/>
              </w:rPr>
            </w:pPr>
            <w:r>
              <w:rPr>
                <w:rFonts w:ascii="Arial" w:hAnsi="Arial"/>
                <w:sz w:val="18"/>
                <w:szCs w:val="18"/>
              </w:rPr>
              <w:t>15,2</w:t>
            </w:r>
          </w:p>
        </w:tc>
        <w:tc>
          <w:tcPr>
            <w:tcW w:w="1191" w:type="dxa"/>
            <w:tcBorders>
              <w:top w:val="single" w:sz="4" w:space="0" w:color="auto"/>
              <w:bottom w:val="single" w:sz="4" w:space="0" w:color="auto"/>
              <w:right w:val="single" w:sz="12" w:space="0" w:color="auto"/>
            </w:tcBorders>
            <w:vAlign w:val="center"/>
          </w:tcPr>
          <w:p w14:paraId="30444597" w14:textId="77777777" w:rsidR="007C520A" w:rsidRPr="000277E3" w:rsidRDefault="007C520A" w:rsidP="007C520A">
            <w:pPr>
              <w:jc w:val="right"/>
              <w:rPr>
                <w:rFonts w:ascii="Arial" w:hAnsi="Arial" w:cs="Arial"/>
                <w:sz w:val="18"/>
                <w:szCs w:val="18"/>
              </w:rPr>
            </w:pPr>
            <w:r>
              <w:rPr>
                <w:rFonts w:ascii="Arial" w:hAnsi="Arial"/>
                <w:sz w:val="18"/>
                <w:szCs w:val="18"/>
              </w:rPr>
              <w:t>6,3%</w:t>
            </w:r>
          </w:p>
        </w:tc>
        <w:tc>
          <w:tcPr>
            <w:tcW w:w="1119" w:type="dxa"/>
            <w:tcBorders>
              <w:left w:val="single" w:sz="12" w:space="0" w:color="auto"/>
            </w:tcBorders>
            <w:vAlign w:val="center"/>
          </w:tcPr>
          <w:p w14:paraId="462E82EE" w14:textId="77777777" w:rsidR="007C520A" w:rsidRPr="000277E3" w:rsidRDefault="007C520A" w:rsidP="007C520A">
            <w:pPr>
              <w:jc w:val="right"/>
              <w:rPr>
                <w:rFonts w:ascii="Arial" w:hAnsi="Arial" w:cs="Arial"/>
                <w:sz w:val="18"/>
                <w:szCs w:val="18"/>
              </w:rPr>
            </w:pPr>
            <w:r>
              <w:rPr>
                <w:rFonts w:ascii="Arial" w:hAnsi="Arial"/>
                <w:sz w:val="18"/>
                <w:szCs w:val="18"/>
              </w:rPr>
              <w:t>+52,0%</w:t>
            </w:r>
          </w:p>
        </w:tc>
        <w:tc>
          <w:tcPr>
            <w:tcW w:w="979" w:type="dxa"/>
            <w:vAlign w:val="center"/>
          </w:tcPr>
          <w:p w14:paraId="0161B7F9" w14:textId="77777777" w:rsidR="007C520A" w:rsidRPr="000277E3" w:rsidRDefault="007C520A" w:rsidP="007C520A">
            <w:pPr>
              <w:jc w:val="right"/>
              <w:rPr>
                <w:rFonts w:ascii="Arial" w:hAnsi="Arial" w:cs="Arial"/>
                <w:sz w:val="18"/>
                <w:szCs w:val="18"/>
              </w:rPr>
            </w:pPr>
            <w:r>
              <w:rPr>
                <w:rFonts w:ascii="Arial" w:hAnsi="Arial"/>
                <w:sz w:val="18"/>
                <w:szCs w:val="18"/>
              </w:rPr>
              <w:t>+210pb</w:t>
            </w:r>
          </w:p>
        </w:tc>
      </w:tr>
      <w:tr w:rsidR="007C520A" w:rsidRPr="000277E3" w14:paraId="71517C9B" w14:textId="77777777" w:rsidTr="00237137">
        <w:trPr>
          <w:trHeight w:val="284"/>
        </w:trPr>
        <w:tc>
          <w:tcPr>
            <w:tcW w:w="1559" w:type="dxa"/>
            <w:vAlign w:val="center"/>
          </w:tcPr>
          <w:p w14:paraId="2B484C82" w14:textId="77777777" w:rsidR="007C520A" w:rsidRPr="000277E3" w:rsidRDefault="007C520A" w:rsidP="007C520A">
            <w:pPr>
              <w:rPr>
                <w:rFonts w:ascii="Arial" w:hAnsi="Arial" w:cs="Arial"/>
                <w:b/>
                <w:sz w:val="18"/>
                <w:szCs w:val="18"/>
              </w:rPr>
            </w:pPr>
            <w:r>
              <w:rPr>
                <w:rFonts w:ascii="Arial" w:hAnsi="Arial"/>
                <w:b/>
                <w:sz w:val="18"/>
                <w:szCs w:val="18"/>
              </w:rPr>
              <w:t>Totale</w:t>
            </w:r>
          </w:p>
        </w:tc>
        <w:tc>
          <w:tcPr>
            <w:tcW w:w="907" w:type="dxa"/>
            <w:vAlign w:val="center"/>
          </w:tcPr>
          <w:p w14:paraId="0FABE26C" w14:textId="77777777" w:rsidR="007C520A" w:rsidRPr="000277E3" w:rsidRDefault="007C520A" w:rsidP="007C520A">
            <w:pPr>
              <w:jc w:val="right"/>
              <w:rPr>
                <w:rFonts w:ascii="Arial" w:hAnsi="Arial" w:cs="Arial"/>
                <w:b/>
                <w:sz w:val="18"/>
                <w:szCs w:val="18"/>
              </w:rPr>
            </w:pPr>
            <w:r>
              <w:rPr>
                <w:rFonts w:ascii="Arial" w:hAnsi="Arial"/>
                <w:b/>
                <w:sz w:val="18"/>
                <w:szCs w:val="18"/>
              </w:rPr>
              <w:t>306,4</w:t>
            </w:r>
          </w:p>
        </w:tc>
        <w:tc>
          <w:tcPr>
            <w:tcW w:w="1191" w:type="dxa"/>
            <w:tcBorders>
              <w:right w:val="single" w:sz="12" w:space="0" w:color="auto"/>
            </w:tcBorders>
            <w:vAlign w:val="center"/>
          </w:tcPr>
          <w:p w14:paraId="5019F421" w14:textId="77777777" w:rsidR="007C520A" w:rsidRPr="000277E3" w:rsidRDefault="007C520A" w:rsidP="007C520A">
            <w:pPr>
              <w:jc w:val="right"/>
              <w:rPr>
                <w:rFonts w:ascii="Arial" w:hAnsi="Arial" w:cs="Arial"/>
                <w:b/>
                <w:sz w:val="18"/>
                <w:szCs w:val="18"/>
              </w:rPr>
            </w:pPr>
            <w:r>
              <w:rPr>
                <w:rFonts w:ascii="Arial" w:hAnsi="Arial"/>
                <w:b/>
                <w:sz w:val="18"/>
                <w:szCs w:val="18"/>
              </w:rPr>
              <w:t>16,6%</w:t>
            </w:r>
          </w:p>
        </w:tc>
        <w:tc>
          <w:tcPr>
            <w:tcW w:w="907" w:type="dxa"/>
            <w:tcBorders>
              <w:top w:val="single" w:sz="4" w:space="0" w:color="auto"/>
              <w:left w:val="single" w:sz="12" w:space="0" w:color="auto"/>
              <w:bottom w:val="single" w:sz="4" w:space="0" w:color="auto"/>
            </w:tcBorders>
            <w:vAlign w:val="center"/>
          </w:tcPr>
          <w:p w14:paraId="0EB7829A" w14:textId="77777777" w:rsidR="007C520A" w:rsidRPr="000277E3" w:rsidRDefault="007C520A" w:rsidP="007C520A">
            <w:pPr>
              <w:jc w:val="right"/>
              <w:rPr>
                <w:rFonts w:ascii="Arial" w:hAnsi="Arial" w:cs="Arial"/>
                <w:b/>
                <w:sz w:val="18"/>
                <w:szCs w:val="18"/>
              </w:rPr>
            </w:pPr>
            <w:r>
              <w:rPr>
                <w:rFonts w:ascii="Arial" w:hAnsi="Arial"/>
                <w:b/>
                <w:sz w:val="18"/>
                <w:szCs w:val="18"/>
              </w:rPr>
              <w:t>236,7</w:t>
            </w:r>
          </w:p>
        </w:tc>
        <w:tc>
          <w:tcPr>
            <w:tcW w:w="1191" w:type="dxa"/>
            <w:tcBorders>
              <w:top w:val="single" w:sz="4" w:space="0" w:color="auto"/>
              <w:bottom w:val="single" w:sz="4" w:space="0" w:color="auto"/>
              <w:right w:val="single" w:sz="12" w:space="0" w:color="auto"/>
            </w:tcBorders>
            <w:vAlign w:val="center"/>
          </w:tcPr>
          <w:p w14:paraId="3119F941" w14:textId="77777777" w:rsidR="007C520A" w:rsidRPr="000277E3" w:rsidRDefault="007C520A" w:rsidP="007C520A">
            <w:pPr>
              <w:jc w:val="right"/>
              <w:rPr>
                <w:rFonts w:ascii="Arial" w:hAnsi="Arial" w:cs="Arial"/>
                <w:b/>
                <w:sz w:val="18"/>
                <w:szCs w:val="18"/>
              </w:rPr>
            </w:pPr>
            <w:r>
              <w:rPr>
                <w:rFonts w:ascii="Arial" w:hAnsi="Arial"/>
                <w:b/>
                <w:sz w:val="18"/>
                <w:szCs w:val="18"/>
              </w:rPr>
              <w:t>14,4%</w:t>
            </w:r>
          </w:p>
        </w:tc>
        <w:tc>
          <w:tcPr>
            <w:tcW w:w="1119" w:type="dxa"/>
            <w:tcBorders>
              <w:left w:val="single" w:sz="12" w:space="0" w:color="auto"/>
            </w:tcBorders>
            <w:vAlign w:val="center"/>
          </w:tcPr>
          <w:p w14:paraId="4C7C0C01" w14:textId="77777777" w:rsidR="007C520A" w:rsidRPr="000277E3" w:rsidRDefault="007C520A" w:rsidP="007C520A">
            <w:pPr>
              <w:jc w:val="right"/>
              <w:rPr>
                <w:rFonts w:ascii="Arial" w:hAnsi="Arial" w:cs="Arial"/>
                <w:b/>
                <w:sz w:val="18"/>
                <w:szCs w:val="18"/>
              </w:rPr>
            </w:pPr>
            <w:r>
              <w:rPr>
                <w:rFonts w:ascii="Arial" w:hAnsi="Arial"/>
                <w:b/>
                <w:sz w:val="18"/>
                <w:szCs w:val="18"/>
              </w:rPr>
              <w:t>+29,4%</w:t>
            </w:r>
          </w:p>
        </w:tc>
        <w:tc>
          <w:tcPr>
            <w:tcW w:w="979" w:type="dxa"/>
            <w:vAlign w:val="center"/>
          </w:tcPr>
          <w:p w14:paraId="4DE55097" w14:textId="77777777" w:rsidR="007C520A" w:rsidRPr="000277E3" w:rsidRDefault="007C520A" w:rsidP="007C520A">
            <w:pPr>
              <w:jc w:val="right"/>
              <w:rPr>
                <w:rFonts w:ascii="Arial" w:hAnsi="Arial" w:cs="Arial"/>
                <w:b/>
                <w:sz w:val="18"/>
                <w:szCs w:val="18"/>
              </w:rPr>
            </w:pPr>
            <w:r>
              <w:rPr>
                <w:rFonts w:ascii="Arial" w:hAnsi="Arial"/>
                <w:b/>
                <w:sz w:val="18"/>
                <w:szCs w:val="18"/>
              </w:rPr>
              <w:t>+220pb</w:t>
            </w:r>
          </w:p>
        </w:tc>
      </w:tr>
    </w:tbl>
    <w:p w14:paraId="5E2638A6" w14:textId="77777777" w:rsidR="00A33C9C" w:rsidRPr="000277E3" w:rsidRDefault="00A33C9C" w:rsidP="00A33C9C">
      <w:pPr>
        <w:ind w:left="1134"/>
        <w:jc w:val="both"/>
        <w:rPr>
          <w:rFonts w:ascii="Arial" w:hAnsi="Arial" w:cs="Arial"/>
          <w:sz w:val="18"/>
          <w:szCs w:val="19"/>
          <w:lang w:val="fr-FR"/>
        </w:rPr>
      </w:pPr>
    </w:p>
    <w:p w14:paraId="7B581955" w14:textId="1192347F" w:rsidR="00A33C9C" w:rsidRPr="008526E4" w:rsidRDefault="00A33C9C" w:rsidP="00A33C9C">
      <w:pPr>
        <w:ind w:left="1134"/>
        <w:jc w:val="both"/>
        <w:rPr>
          <w:rFonts w:ascii="Arial" w:hAnsi="Arial" w:cs="Arial"/>
          <w:sz w:val="18"/>
          <w:szCs w:val="18"/>
        </w:rPr>
      </w:pPr>
      <w:r>
        <w:rPr>
          <w:rFonts w:ascii="Arial" w:hAnsi="Arial"/>
          <w:b/>
          <w:sz w:val="18"/>
        </w:rPr>
        <w:t xml:space="preserve">Arredo </w:t>
      </w:r>
      <w:r w:rsidR="002676A6">
        <w:rPr>
          <w:rFonts w:ascii="Arial" w:hAnsi="Arial"/>
          <w:b/>
          <w:sz w:val="18"/>
        </w:rPr>
        <w:t>U</w:t>
      </w:r>
      <w:r>
        <w:rPr>
          <w:rFonts w:ascii="Arial" w:hAnsi="Arial"/>
          <w:b/>
          <w:sz w:val="18"/>
        </w:rPr>
        <w:t>rbano:</w:t>
      </w:r>
      <w:r>
        <w:rPr>
          <w:rFonts w:ascii="Arial" w:hAnsi="Arial"/>
          <w:sz w:val="18"/>
          <w:szCs w:val="18"/>
        </w:rPr>
        <w:t xml:space="preserve"> Nel primo semestre del 2019</w:t>
      </w:r>
      <w:r w:rsidR="002676A6">
        <w:rPr>
          <w:rFonts w:ascii="Arial" w:hAnsi="Arial"/>
          <w:sz w:val="18"/>
          <w:szCs w:val="18"/>
        </w:rPr>
        <w:t>,</w:t>
      </w:r>
      <w:r>
        <w:rPr>
          <w:rFonts w:ascii="Arial" w:hAnsi="Arial"/>
          <w:sz w:val="18"/>
          <w:szCs w:val="18"/>
        </w:rPr>
        <w:t xml:space="preserve"> il margine operativo rideterminato aumenta del +7,8% a 176,1 milioni di euro. In termini percentuali sul fatturato, il margine operativo rideterminato aumenta di +30 punti base al 22,3% rispetto al primo semestre </w:t>
      </w:r>
      <w:r w:rsidR="00AB6DBA">
        <w:rPr>
          <w:rFonts w:ascii="Arial" w:hAnsi="Arial"/>
          <w:sz w:val="18"/>
          <w:szCs w:val="18"/>
        </w:rPr>
        <w:t xml:space="preserve">del </w:t>
      </w:r>
      <w:r>
        <w:rPr>
          <w:rFonts w:ascii="Arial" w:hAnsi="Arial"/>
          <w:sz w:val="18"/>
          <w:szCs w:val="18"/>
        </w:rPr>
        <w:t>2018.</w:t>
      </w:r>
    </w:p>
    <w:p w14:paraId="7DD0DAB2" w14:textId="77777777" w:rsidR="00A33C9C" w:rsidRPr="00D14232" w:rsidRDefault="00A33C9C" w:rsidP="00A33C9C">
      <w:pPr>
        <w:ind w:left="1134"/>
        <w:jc w:val="both"/>
        <w:rPr>
          <w:rFonts w:ascii="Arial" w:hAnsi="Arial" w:cs="Arial"/>
          <w:sz w:val="18"/>
          <w:szCs w:val="18"/>
        </w:rPr>
      </w:pPr>
    </w:p>
    <w:p w14:paraId="5062D294" w14:textId="70A5708D" w:rsidR="00A33C9C" w:rsidRPr="009C2C85" w:rsidRDefault="00A33C9C" w:rsidP="00A33C9C">
      <w:pPr>
        <w:ind w:left="1134"/>
        <w:jc w:val="both"/>
        <w:rPr>
          <w:rFonts w:ascii="Arial" w:hAnsi="Arial" w:cs="Arial"/>
          <w:sz w:val="18"/>
          <w:szCs w:val="18"/>
        </w:rPr>
      </w:pPr>
      <w:r>
        <w:rPr>
          <w:rFonts w:ascii="Arial" w:hAnsi="Arial"/>
          <w:b/>
          <w:sz w:val="18"/>
          <w:szCs w:val="19"/>
        </w:rPr>
        <w:t>Trasporti</w:t>
      </w:r>
      <w:r>
        <w:rPr>
          <w:rFonts w:ascii="Arial" w:hAnsi="Arial"/>
          <w:sz w:val="18"/>
          <w:szCs w:val="19"/>
        </w:rPr>
        <w:t xml:space="preserve">: </w:t>
      </w:r>
      <w:r>
        <w:rPr>
          <w:rFonts w:ascii="Arial" w:hAnsi="Arial"/>
          <w:sz w:val="18"/>
          <w:szCs w:val="18"/>
        </w:rPr>
        <w:t>Nel primo semestre del 2019</w:t>
      </w:r>
      <w:r w:rsidR="002676A6">
        <w:rPr>
          <w:rFonts w:ascii="Arial" w:hAnsi="Arial"/>
          <w:sz w:val="18"/>
          <w:szCs w:val="18"/>
        </w:rPr>
        <w:t>,</w:t>
      </w:r>
      <w:r>
        <w:rPr>
          <w:rFonts w:ascii="Arial" w:hAnsi="Arial"/>
          <w:sz w:val="18"/>
          <w:szCs w:val="18"/>
        </w:rPr>
        <w:t xml:space="preserve"> il margine operativo rideterminato aumenta del +84,2% a 107,2 milioni di euro. In termini percentuali sul fatturato, il margine operativo rideterminato aumenta di +500 punti base al 13,8% rispetto al primo semestre </w:t>
      </w:r>
      <w:r w:rsidR="00AB6DBA">
        <w:rPr>
          <w:rFonts w:ascii="Arial" w:hAnsi="Arial"/>
          <w:sz w:val="18"/>
          <w:szCs w:val="18"/>
        </w:rPr>
        <w:t xml:space="preserve">del </w:t>
      </w:r>
      <w:r>
        <w:rPr>
          <w:rFonts w:ascii="Arial" w:hAnsi="Arial"/>
          <w:sz w:val="18"/>
          <w:szCs w:val="18"/>
        </w:rPr>
        <w:t>2018, influenzato positivamente dalla buona crescita organica del fatturato e, in misura minore, dal contributo di APN Outdoor.</w:t>
      </w:r>
    </w:p>
    <w:p w14:paraId="7A35519A" w14:textId="77777777" w:rsidR="00A33C9C" w:rsidRPr="00D14232" w:rsidRDefault="00A33C9C" w:rsidP="00A33C9C">
      <w:pPr>
        <w:ind w:left="1134"/>
        <w:jc w:val="both"/>
        <w:rPr>
          <w:rFonts w:ascii="Arial" w:hAnsi="Arial" w:cs="Arial"/>
          <w:sz w:val="18"/>
          <w:szCs w:val="18"/>
        </w:rPr>
      </w:pPr>
    </w:p>
    <w:p w14:paraId="6A8878FA" w14:textId="4DF1DFB7" w:rsidR="00A33C9C" w:rsidRPr="000277E3" w:rsidRDefault="00A33C9C" w:rsidP="00A33C9C">
      <w:pPr>
        <w:ind w:left="1134"/>
        <w:jc w:val="both"/>
        <w:rPr>
          <w:rFonts w:ascii="Arial" w:hAnsi="Arial" w:cs="Arial"/>
          <w:sz w:val="18"/>
          <w:szCs w:val="18"/>
        </w:rPr>
      </w:pPr>
      <w:r>
        <w:rPr>
          <w:rFonts w:ascii="Arial" w:hAnsi="Arial"/>
          <w:b/>
          <w:sz w:val="18"/>
          <w:szCs w:val="19"/>
        </w:rPr>
        <w:t>Affissioni:</w:t>
      </w:r>
      <w:r>
        <w:rPr>
          <w:rFonts w:ascii="Arial" w:hAnsi="Arial"/>
          <w:sz w:val="18"/>
          <w:szCs w:val="19"/>
        </w:rPr>
        <w:t xml:space="preserve"> </w:t>
      </w:r>
      <w:r>
        <w:rPr>
          <w:rFonts w:ascii="Arial" w:hAnsi="Arial"/>
          <w:sz w:val="18"/>
          <w:szCs w:val="18"/>
        </w:rPr>
        <w:t>Nel primo semestre del 2019</w:t>
      </w:r>
      <w:r w:rsidR="002676A6">
        <w:rPr>
          <w:rFonts w:ascii="Arial" w:hAnsi="Arial"/>
          <w:sz w:val="18"/>
          <w:szCs w:val="18"/>
        </w:rPr>
        <w:t>,</w:t>
      </w:r>
      <w:r>
        <w:rPr>
          <w:rFonts w:ascii="Arial" w:hAnsi="Arial"/>
          <w:sz w:val="18"/>
          <w:szCs w:val="18"/>
        </w:rPr>
        <w:t xml:space="preserve"> il margine operativo rideterminato aumenta del +52,0% a 23,1 milioni di euro. In termini percentuali sul fatturato, il margine operativo rideterminato aumenta di +210 punti base al 8,4% rispetto al primo semestre </w:t>
      </w:r>
      <w:r w:rsidR="00AB6DBA">
        <w:rPr>
          <w:rFonts w:ascii="Arial" w:hAnsi="Arial"/>
          <w:sz w:val="18"/>
          <w:szCs w:val="18"/>
        </w:rPr>
        <w:t xml:space="preserve">del </w:t>
      </w:r>
      <w:r>
        <w:rPr>
          <w:rFonts w:ascii="Arial" w:hAnsi="Arial"/>
          <w:sz w:val="18"/>
          <w:szCs w:val="18"/>
        </w:rPr>
        <w:t xml:space="preserve">2018, a causa dell’effetto positivo di APN Outdoor. Escludendo il contributo di APN Outdoor, </w:t>
      </w:r>
      <w:r w:rsidR="00F119FF">
        <w:rPr>
          <w:rFonts w:ascii="Arial" w:hAnsi="Arial"/>
          <w:sz w:val="18"/>
          <w:szCs w:val="18"/>
        </w:rPr>
        <w:t xml:space="preserve">il tasso </w:t>
      </w:r>
      <w:r>
        <w:rPr>
          <w:rFonts w:ascii="Arial" w:hAnsi="Arial"/>
          <w:sz w:val="18"/>
          <w:szCs w:val="18"/>
        </w:rPr>
        <w:t>di margine diminuisce di -90pb riflettendo così la diminuzione del fatturato organico.</w:t>
      </w:r>
    </w:p>
    <w:p w14:paraId="10960EBA" w14:textId="77777777" w:rsidR="00A33C9C" w:rsidRPr="00D14232" w:rsidRDefault="00A33C9C" w:rsidP="00A33C9C">
      <w:pPr>
        <w:ind w:left="1134"/>
        <w:jc w:val="both"/>
        <w:rPr>
          <w:rFonts w:ascii="Arial" w:hAnsi="Arial" w:cs="Arial"/>
          <w:sz w:val="18"/>
          <w:szCs w:val="18"/>
        </w:rPr>
      </w:pPr>
    </w:p>
    <w:p w14:paraId="67BFAB5E" w14:textId="77777777" w:rsidR="00A33C9C" w:rsidRPr="002676A6" w:rsidRDefault="00A33C9C" w:rsidP="00A33C9C">
      <w:pPr>
        <w:spacing w:after="60"/>
        <w:ind w:left="1134"/>
        <w:jc w:val="both"/>
        <w:rPr>
          <w:rFonts w:ascii="Arial" w:hAnsi="Arial" w:cs="Arial"/>
          <w:b/>
          <w:sz w:val="18"/>
          <w:szCs w:val="18"/>
          <w:u w:val="single"/>
        </w:rPr>
      </w:pPr>
      <w:r w:rsidRPr="00237137">
        <w:rPr>
          <w:rFonts w:ascii="Arial" w:hAnsi="Arial"/>
          <w:b/>
          <w:sz w:val="18"/>
          <w:szCs w:val="18"/>
          <w:u w:val="single"/>
        </w:rPr>
        <w:t xml:space="preserve">RISULTATO DI GESTIONE RIDETERMINATO </w:t>
      </w:r>
      <w:r w:rsidRPr="00237137">
        <w:rPr>
          <w:rFonts w:ascii="Arial" w:hAnsi="Arial"/>
          <w:b/>
          <w:sz w:val="18"/>
          <w:szCs w:val="18"/>
          <w:u w:val="single"/>
          <w:vertAlign w:val="superscript"/>
        </w:rPr>
        <w:t>(2)</w:t>
      </w:r>
    </w:p>
    <w:p w14:paraId="3F1E1F06" w14:textId="5F818A2B" w:rsidR="00A33C9C" w:rsidRDefault="00A33C9C" w:rsidP="00A33C9C">
      <w:pPr>
        <w:ind w:left="1134"/>
        <w:jc w:val="both"/>
        <w:rPr>
          <w:rFonts w:ascii="Arial" w:hAnsi="Arial" w:cs="Arial"/>
          <w:sz w:val="18"/>
          <w:szCs w:val="18"/>
        </w:rPr>
      </w:pPr>
      <w:r>
        <w:rPr>
          <w:rFonts w:ascii="Arial" w:hAnsi="Arial"/>
          <w:sz w:val="18"/>
          <w:szCs w:val="18"/>
        </w:rPr>
        <w:t xml:space="preserve">Nel primo semestre </w:t>
      </w:r>
      <w:r w:rsidR="00AB6DBA">
        <w:rPr>
          <w:rFonts w:ascii="Arial" w:hAnsi="Arial"/>
          <w:sz w:val="18"/>
          <w:szCs w:val="18"/>
        </w:rPr>
        <w:t xml:space="preserve">del </w:t>
      </w:r>
      <w:r>
        <w:rPr>
          <w:rFonts w:ascii="Arial" w:hAnsi="Arial"/>
          <w:sz w:val="18"/>
          <w:szCs w:val="18"/>
        </w:rPr>
        <w:t>2019</w:t>
      </w:r>
      <w:r w:rsidR="002676A6">
        <w:rPr>
          <w:rFonts w:ascii="Arial" w:hAnsi="Arial"/>
          <w:sz w:val="18"/>
          <w:szCs w:val="18"/>
        </w:rPr>
        <w:t>,</w:t>
      </w:r>
      <w:r>
        <w:rPr>
          <w:rFonts w:ascii="Arial" w:hAnsi="Arial"/>
          <w:sz w:val="18"/>
          <w:szCs w:val="18"/>
        </w:rPr>
        <w:t xml:space="preserve"> il risultato di gestione rideterminato, al lordo degli oneri derivanti dalla riduzione di valore, aumenta del +58,6% e si attesta a 136,1 milioni di euro</w:t>
      </w:r>
      <w:r w:rsidR="002676A6">
        <w:rPr>
          <w:rFonts w:ascii="Arial" w:hAnsi="Arial"/>
          <w:sz w:val="18"/>
          <w:szCs w:val="18"/>
        </w:rPr>
        <w:t>,</w:t>
      </w:r>
      <w:r w:rsidR="005D3BC9">
        <w:rPr>
          <w:rFonts w:ascii="Arial" w:hAnsi="Arial"/>
          <w:sz w:val="18"/>
          <w:szCs w:val="18"/>
        </w:rPr>
        <w:t xml:space="preserve"> </w:t>
      </w:r>
      <w:r>
        <w:rPr>
          <w:rFonts w:ascii="Arial" w:hAnsi="Arial"/>
          <w:sz w:val="18"/>
          <w:szCs w:val="18"/>
        </w:rPr>
        <w:t xml:space="preserve">contro gli 85,8 milioni di euro del primo semestre </w:t>
      </w:r>
      <w:r w:rsidR="00AB6DBA">
        <w:rPr>
          <w:rFonts w:ascii="Arial" w:hAnsi="Arial"/>
          <w:sz w:val="18"/>
          <w:szCs w:val="18"/>
        </w:rPr>
        <w:t xml:space="preserve">del </w:t>
      </w:r>
      <w:r>
        <w:rPr>
          <w:rFonts w:ascii="Arial" w:hAnsi="Arial"/>
          <w:sz w:val="18"/>
          <w:szCs w:val="18"/>
        </w:rPr>
        <w:t xml:space="preserve">2018. Rappresenta il 7,4% del fatturato, vale a dire 220 punti base in più rispetto al primo semestre </w:t>
      </w:r>
      <w:r w:rsidR="00AB6DBA">
        <w:rPr>
          <w:rFonts w:ascii="Arial" w:hAnsi="Arial"/>
          <w:sz w:val="18"/>
          <w:szCs w:val="18"/>
        </w:rPr>
        <w:t xml:space="preserve">del </w:t>
      </w:r>
      <w:r>
        <w:rPr>
          <w:rFonts w:ascii="Arial" w:hAnsi="Arial"/>
          <w:sz w:val="18"/>
          <w:szCs w:val="18"/>
        </w:rPr>
        <w:t xml:space="preserve">2018 (5,2%). Nel primo semestre </w:t>
      </w:r>
      <w:r w:rsidR="00AB6DBA">
        <w:rPr>
          <w:rFonts w:ascii="Arial" w:hAnsi="Arial"/>
          <w:sz w:val="18"/>
          <w:szCs w:val="18"/>
        </w:rPr>
        <w:t xml:space="preserve">del </w:t>
      </w:r>
      <w:r>
        <w:rPr>
          <w:rFonts w:ascii="Arial" w:hAnsi="Arial"/>
          <w:sz w:val="18"/>
          <w:szCs w:val="18"/>
        </w:rPr>
        <w:t>2019</w:t>
      </w:r>
      <w:r w:rsidR="002676A6">
        <w:rPr>
          <w:rFonts w:ascii="Arial" w:hAnsi="Arial"/>
          <w:sz w:val="18"/>
          <w:szCs w:val="18"/>
        </w:rPr>
        <w:t>,</w:t>
      </w:r>
      <w:r>
        <w:rPr>
          <w:rFonts w:ascii="Arial" w:hAnsi="Arial"/>
          <w:sz w:val="18"/>
          <w:szCs w:val="18"/>
        </w:rPr>
        <w:t xml:space="preserve"> </w:t>
      </w:r>
      <w:r w:rsidR="005841A3">
        <w:rPr>
          <w:rFonts w:ascii="Arial" w:hAnsi="Arial"/>
          <w:sz w:val="18"/>
          <w:szCs w:val="18"/>
        </w:rPr>
        <w:t>non vi è variazione significativa nel</w:t>
      </w:r>
      <w:r>
        <w:rPr>
          <w:rFonts w:ascii="Arial" w:hAnsi="Arial"/>
          <w:sz w:val="18"/>
          <w:szCs w:val="18"/>
        </w:rPr>
        <w:t xml:space="preserve"> consumo di pezzi di ricambio per manutenzione. Gli ammortamenti e accantonamenti, al netto dei ripristini di valore, sono aumentati</w:t>
      </w:r>
      <w:r w:rsidR="00AA283C">
        <w:rPr>
          <w:rFonts w:ascii="Arial" w:hAnsi="Arial"/>
          <w:sz w:val="18"/>
          <w:szCs w:val="18"/>
        </w:rPr>
        <w:t xml:space="preserve"> comparati allo stesso periodo dell’anno precedente</w:t>
      </w:r>
      <w:r>
        <w:rPr>
          <w:rFonts w:ascii="Arial" w:hAnsi="Arial"/>
          <w:sz w:val="18"/>
          <w:szCs w:val="18"/>
        </w:rPr>
        <w:t>, in linea con</w:t>
      </w:r>
      <w:r w:rsidR="005841A3">
        <w:rPr>
          <w:rFonts w:ascii="Arial" w:hAnsi="Arial"/>
          <w:sz w:val="18"/>
          <w:szCs w:val="18"/>
        </w:rPr>
        <w:t xml:space="preserve"> i nostri investimenti legati al</w:t>
      </w:r>
      <w:r>
        <w:rPr>
          <w:rFonts w:ascii="Arial" w:hAnsi="Arial"/>
          <w:sz w:val="18"/>
          <w:szCs w:val="18"/>
        </w:rPr>
        <w:t xml:space="preserve">le significative </w:t>
      </w:r>
      <w:r w:rsidR="005841A3">
        <w:rPr>
          <w:rFonts w:ascii="Arial" w:hAnsi="Arial"/>
          <w:sz w:val="18"/>
          <w:szCs w:val="18"/>
        </w:rPr>
        <w:t xml:space="preserve">nuove </w:t>
      </w:r>
      <w:r>
        <w:rPr>
          <w:rFonts w:ascii="Arial" w:hAnsi="Arial"/>
          <w:sz w:val="18"/>
          <w:szCs w:val="18"/>
        </w:rPr>
        <w:t xml:space="preserve">aggiudicazioni contrattuali nel digitale. L'ammontare degli altri proventi ed oneri di gestione ha un impatto positivo sul </w:t>
      </w:r>
      <w:r w:rsidR="005841A3">
        <w:rPr>
          <w:rFonts w:ascii="Arial" w:hAnsi="Arial"/>
          <w:sz w:val="18"/>
          <w:szCs w:val="18"/>
        </w:rPr>
        <w:t>risultato di gestione</w:t>
      </w:r>
      <w:r w:rsidR="00AA283C">
        <w:rPr>
          <w:rFonts w:ascii="Arial" w:hAnsi="Arial"/>
          <w:sz w:val="18"/>
          <w:szCs w:val="18"/>
        </w:rPr>
        <w:t xml:space="preserve"> nel primo semestre </w:t>
      </w:r>
      <w:r w:rsidR="00AB6DBA">
        <w:rPr>
          <w:rFonts w:ascii="Arial" w:hAnsi="Arial"/>
          <w:sz w:val="18"/>
          <w:szCs w:val="18"/>
        </w:rPr>
        <w:t xml:space="preserve">del </w:t>
      </w:r>
      <w:r w:rsidR="00AA283C">
        <w:rPr>
          <w:rFonts w:ascii="Arial" w:hAnsi="Arial"/>
          <w:sz w:val="18"/>
          <w:szCs w:val="18"/>
        </w:rPr>
        <w:t>2019</w:t>
      </w:r>
      <w:r>
        <w:rPr>
          <w:rFonts w:ascii="Arial" w:hAnsi="Arial"/>
          <w:sz w:val="18"/>
          <w:szCs w:val="18"/>
        </w:rPr>
        <w:t>.</w:t>
      </w:r>
    </w:p>
    <w:p w14:paraId="0198F5E9" w14:textId="77777777" w:rsidR="00CE015D" w:rsidRPr="00D14232" w:rsidRDefault="00CE015D" w:rsidP="00A33C9C">
      <w:pPr>
        <w:ind w:left="1134"/>
        <w:jc w:val="both"/>
        <w:rPr>
          <w:rFonts w:ascii="Arial" w:hAnsi="Arial" w:cs="Arial"/>
          <w:sz w:val="18"/>
          <w:szCs w:val="18"/>
        </w:rPr>
      </w:pPr>
    </w:p>
    <w:p w14:paraId="641E9F1E" w14:textId="67D78902" w:rsidR="00CE015D" w:rsidRPr="000277E3" w:rsidRDefault="00CE015D" w:rsidP="00A33C9C">
      <w:pPr>
        <w:ind w:left="1134"/>
        <w:jc w:val="both"/>
        <w:rPr>
          <w:rFonts w:ascii="Arial" w:hAnsi="Arial" w:cs="Arial"/>
          <w:sz w:val="18"/>
          <w:szCs w:val="18"/>
        </w:rPr>
      </w:pPr>
      <w:r>
        <w:rPr>
          <w:rFonts w:ascii="Arial" w:hAnsi="Arial"/>
          <w:sz w:val="18"/>
          <w:szCs w:val="18"/>
        </w:rPr>
        <w:t xml:space="preserve">Nel primo semestre </w:t>
      </w:r>
      <w:r w:rsidR="00AB6DBA">
        <w:rPr>
          <w:rFonts w:ascii="Arial" w:hAnsi="Arial"/>
          <w:sz w:val="18"/>
          <w:szCs w:val="18"/>
        </w:rPr>
        <w:t xml:space="preserve">del </w:t>
      </w:r>
      <w:r>
        <w:rPr>
          <w:rFonts w:ascii="Arial" w:hAnsi="Arial"/>
          <w:sz w:val="18"/>
          <w:szCs w:val="18"/>
        </w:rPr>
        <w:t xml:space="preserve">2019, così come nel primo semestre </w:t>
      </w:r>
      <w:r w:rsidR="00AB6DBA">
        <w:rPr>
          <w:rFonts w:ascii="Arial" w:hAnsi="Arial"/>
          <w:sz w:val="18"/>
          <w:szCs w:val="18"/>
        </w:rPr>
        <w:t xml:space="preserve">del </w:t>
      </w:r>
      <w:r>
        <w:rPr>
          <w:rFonts w:ascii="Arial" w:hAnsi="Arial"/>
          <w:sz w:val="18"/>
          <w:szCs w:val="18"/>
        </w:rPr>
        <w:t xml:space="preserve">2018, non sono state effettuate rettifiche di valore sull’avviamento. Nel primo semestre 2019 sono stati effettuati storni di accantonamenti per perdite di completamento per +3,2 milioni di euro e ammortamenti di beni materiali e immateriali per -0,1 milioni di euro (sono stati effettuati storni di accantonamenti per perdite di completamento per 0,7 milioni di euro e una svalutazione di beni materiali e immateriali per -0,8 milioni di euro era stata contabilizzata nel primo semestre </w:t>
      </w:r>
      <w:r w:rsidR="00AB6DBA">
        <w:rPr>
          <w:rFonts w:ascii="Arial" w:hAnsi="Arial"/>
          <w:sz w:val="18"/>
          <w:szCs w:val="18"/>
        </w:rPr>
        <w:t xml:space="preserve">del </w:t>
      </w:r>
      <w:r>
        <w:rPr>
          <w:rFonts w:ascii="Arial" w:hAnsi="Arial"/>
          <w:sz w:val="18"/>
          <w:szCs w:val="18"/>
        </w:rPr>
        <w:t>2018).</w:t>
      </w:r>
    </w:p>
    <w:p w14:paraId="05CB39F0" w14:textId="77777777" w:rsidR="00A33C9C" w:rsidRPr="00D14232" w:rsidRDefault="00A33C9C" w:rsidP="00A33C9C">
      <w:pPr>
        <w:ind w:left="1134"/>
        <w:jc w:val="both"/>
        <w:rPr>
          <w:rFonts w:ascii="Arial" w:hAnsi="Arial" w:cs="Arial"/>
          <w:sz w:val="18"/>
          <w:szCs w:val="18"/>
        </w:rPr>
      </w:pPr>
    </w:p>
    <w:p w14:paraId="607A6AAD" w14:textId="364B272F" w:rsidR="00A33C9C" w:rsidRPr="00327D83" w:rsidRDefault="00A33C9C" w:rsidP="00A33C9C">
      <w:pPr>
        <w:ind w:left="1134"/>
        <w:jc w:val="both"/>
        <w:rPr>
          <w:rFonts w:ascii="Arial" w:hAnsi="Arial" w:cs="Arial"/>
          <w:sz w:val="18"/>
          <w:szCs w:val="18"/>
        </w:rPr>
      </w:pPr>
      <w:r>
        <w:rPr>
          <w:rFonts w:ascii="Arial" w:hAnsi="Arial"/>
          <w:sz w:val="18"/>
          <w:szCs w:val="18"/>
        </w:rPr>
        <w:t xml:space="preserve">Il risultato di gestione rideterminato al netto degli oneri derivanti dalla riduzione di valore è aumentato del +62,4% a 139,2 milioni di euro rispetto agli 85,7 milioni di euro del primo semestre </w:t>
      </w:r>
      <w:r w:rsidR="009478C0">
        <w:rPr>
          <w:rFonts w:ascii="Arial" w:hAnsi="Arial"/>
          <w:sz w:val="18"/>
          <w:szCs w:val="18"/>
        </w:rPr>
        <w:t xml:space="preserve">del </w:t>
      </w:r>
      <w:r>
        <w:rPr>
          <w:rFonts w:ascii="Arial" w:hAnsi="Arial"/>
          <w:sz w:val="18"/>
          <w:szCs w:val="18"/>
        </w:rPr>
        <w:t>2018.</w:t>
      </w:r>
    </w:p>
    <w:p w14:paraId="535B5B6B" w14:textId="77777777" w:rsidR="00A33C9C" w:rsidRPr="00D14232" w:rsidRDefault="00A33C9C" w:rsidP="00A33C9C">
      <w:pPr>
        <w:ind w:left="1134"/>
        <w:jc w:val="both"/>
        <w:rPr>
          <w:rFonts w:ascii="Arial" w:hAnsi="Arial" w:cs="Arial"/>
          <w:sz w:val="18"/>
          <w:szCs w:val="18"/>
        </w:rPr>
      </w:pPr>
    </w:p>
    <w:p w14:paraId="72CEF946" w14:textId="77777777" w:rsidR="00A33C9C" w:rsidRPr="00327D83" w:rsidRDefault="00A33C9C" w:rsidP="00A33C9C">
      <w:pPr>
        <w:spacing w:after="60"/>
        <w:ind w:left="1134"/>
        <w:jc w:val="both"/>
        <w:rPr>
          <w:rFonts w:ascii="Arial" w:hAnsi="Arial" w:cs="Arial"/>
          <w:b/>
          <w:sz w:val="18"/>
          <w:szCs w:val="18"/>
          <w:u w:val="single"/>
        </w:rPr>
      </w:pPr>
      <w:r>
        <w:rPr>
          <w:rFonts w:ascii="Arial" w:hAnsi="Arial"/>
          <w:b/>
          <w:sz w:val="18"/>
          <w:szCs w:val="18"/>
          <w:u w:val="single"/>
        </w:rPr>
        <w:t>RISULTATO FINANZIARIO</w:t>
      </w:r>
      <w:r>
        <w:rPr>
          <w:rFonts w:ascii="Arial" w:hAnsi="Arial"/>
          <w:b/>
          <w:sz w:val="18"/>
          <w:szCs w:val="18"/>
        </w:rPr>
        <w:t xml:space="preserve"> </w:t>
      </w:r>
      <w:r>
        <w:rPr>
          <w:rFonts w:ascii="Arial" w:hAnsi="Arial"/>
          <w:b/>
          <w:sz w:val="18"/>
          <w:szCs w:val="18"/>
          <w:vertAlign w:val="superscript"/>
        </w:rPr>
        <w:t>(3)</w:t>
      </w:r>
    </w:p>
    <w:p w14:paraId="093DF7BB" w14:textId="718E93D0" w:rsidR="00A33C9C" w:rsidRPr="00327D83" w:rsidRDefault="0078228B" w:rsidP="00327D83">
      <w:pPr>
        <w:ind w:left="1134"/>
        <w:jc w:val="both"/>
        <w:rPr>
          <w:rFonts w:ascii="Arial" w:hAnsi="Arial" w:cs="Arial"/>
          <w:sz w:val="18"/>
          <w:szCs w:val="19"/>
        </w:rPr>
      </w:pPr>
      <w:r>
        <w:rPr>
          <w:rFonts w:ascii="Arial" w:hAnsi="Arial"/>
          <w:sz w:val="18"/>
          <w:szCs w:val="19"/>
        </w:rPr>
        <w:t xml:space="preserve">Nel primo semestre </w:t>
      </w:r>
      <w:r w:rsidR="00AB6DBA">
        <w:rPr>
          <w:rFonts w:ascii="Arial" w:hAnsi="Arial"/>
          <w:sz w:val="18"/>
          <w:szCs w:val="19"/>
        </w:rPr>
        <w:t xml:space="preserve">del </w:t>
      </w:r>
      <w:r>
        <w:rPr>
          <w:rFonts w:ascii="Arial" w:hAnsi="Arial"/>
          <w:sz w:val="18"/>
          <w:szCs w:val="19"/>
        </w:rPr>
        <w:t>2019</w:t>
      </w:r>
      <w:r w:rsidR="002676A6">
        <w:rPr>
          <w:rFonts w:ascii="Arial" w:hAnsi="Arial"/>
          <w:sz w:val="18"/>
          <w:szCs w:val="19"/>
        </w:rPr>
        <w:t>,</w:t>
      </w:r>
      <w:r>
        <w:rPr>
          <w:rFonts w:ascii="Arial" w:hAnsi="Arial"/>
          <w:sz w:val="18"/>
          <w:szCs w:val="19"/>
        </w:rPr>
        <w:t xml:space="preserve"> gli interessi passivi sul debito per canoni di locazione IFRS 16 sono stati pari a -83,3 milioni di euro rispetto ai -71,5 milioni di euro del primo semestre </w:t>
      </w:r>
      <w:r w:rsidR="00AB6DBA">
        <w:rPr>
          <w:rFonts w:ascii="Arial" w:hAnsi="Arial"/>
          <w:sz w:val="18"/>
          <w:szCs w:val="19"/>
        </w:rPr>
        <w:t xml:space="preserve">del </w:t>
      </w:r>
      <w:r>
        <w:rPr>
          <w:rFonts w:ascii="Arial" w:hAnsi="Arial"/>
          <w:sz w:val="18"/>
          <w:szCs w:val="19"/>
        </w:rPr>
        <w:t>2018, con una variazione di -11,8 milioni di euro, dovuta principalmente all'aumento dei debiti per canoni di locazione derivanti dai nuovi contratti stipulati nel corso del periodo.</w:t>
      </w:r>
    </w:p>
    <w:p w14:paraId="295579CE" w14:textId="77777777" w:rsidR="00327D83" w:rsidRPr="00D14232" w:rsidRDefault="00327D83" w:rsidP="00327D83">
      <w:pPr>
        <w:ind w:left="1134"/>
        <w:jc w:val="both"/>
        <w:rPr>
          <w:rFonts w:ascii="Arial" w:hAnsi="Arial" w:cs="Arial"/>
          <w:sz w:val="18"/>
          <w:szCs w:val="19"/>
        </w:rPr>
      </w:pPr>
    </w:p>
    <w:p w14:paraId="4F2EA881" w14:textId="63729E31" w:rsidR="00327D83" w:rsidRPr="00327D83" w:rsidRDefault="00327D83" w:rsidP="00327D83">
      <w:pPr>
        <w:ind w:left="1134"/>
        <w:jc w:val="both"/>
        <w:rPr>
          <w:rFonts w:ascii="Arial" w:hAnsi="Arial" w:cs="Arial"/>
          <w:sz w:val="18"/>
          <w:szCs w:val="19"/>
        </w:rPr>
      </w:pPr>
      <w:r>
        <w:rPr>
          <w:rFonts w:ascii="Arial" w:hAnsi="Arial"/>
          <w:sz w:val="18"/>
          <w:szCs w:val="19"/>
        </w:rPr>
        <w:t xml:space="preserve">Nel primo semestre </w:t>
      </w:r>
      <w:r w:rsidR="00AB6DBA">
        <w:rPr>
          <w:rFonts w:ascii="Arial" w:hAnsi="Arial"/>
          <w:sz w:val="18"/>
          <w:szCs w:val="19"/>
        </w:rPr>
        <w:t xml:space="preserve">del </w:t>
      </w:r>
      <w:r>
        <w:rPr>
          <w:rFonts w:ascii="Arial" w:hAnsi="Arial"/>
          <w:sz w:val="18"/>
          <w:szCs w:val="19"/>
        </w:rPr>
        <w:t xml:space="preserve">2019, gli altri oneri finanziari netti, esclusa la voce relativa all'IFRS 16, sono stati pari a -12,7 milioni di euro, rispetto ai -11,2 milioni di euro del primo semestre </w:t>
      </w:r>
      <w:r w:rsidR="00AB6DBA">
        <w:rPr>
          <w:rFonts w:ascii="Arial" w:hAnsi="Arial"/>
          <w:sz w:val="18"/>
          <w:szCs w:val="19"/>
        </w:rPr>
        <w:t xml:space="preserve">del </w:t>
      </w:r>
      <w:r>
        <w:rPr>
          <w:rFonts w:ascii="Arial" w:hAnsi="Arial"/>
          <w:sz w:val="18"/>
          <w:szCs w:val="19"/>
        </w:rPr>
        <w:t>2018, con una variazione limitata a -1,5 milioni di euro, corrispondente principalmente alle perdite su cambi, mentre gli oneri finanziari sono leggermente diminuiti nonostante l'aumento dell'indebitamento netto</w:t>
      </w:r>
      <w:r w:rsidR="00E25A75">
        <w:rPr>
          <w:rFonts w:ascii="Arial" w:hAnsi="Arial"/>
          <w:sz w:val="18"/>
          <w:szCs w:val="19"/>
        </w:rPr>
        <w:t>. Ciò è dovuto all’</w:t>
      </w:r>
      <w:r>
        <w:rPr>
          <w:rFonts w:ascii="Arial" w:hAnsi="Arial"/>
          <w:sz w:val="18"/>
          <w:szCs w:val="19"/>
        </w:rPr>
        <w:t>ottimizzazione delle</w:t>
      </w:r>
      <w:r w:rsidR="00E25A75">
        <w:rPr>
          <w:rFonts w:ascii="Arial" w:hAnsi="Arial"/>
          <w:sz w:val="18"/>
          <w:szCs w:val="19"/>
        </w:rPr>
        <w:t xml:space="preserve"> nostre</w:t>
      </w:r>
      <w:r>
        <w:rPr>
          <w:rFonts w:ascii="Arial" w:hAnsi="Arial"/>
          <w:sz w:val="18"/>
          <w:szCs w:val="19"/>
        </w:rPr>
        <w:t xml:space="preserve"> fonti di finanziamento, che ci consente di beneficiare di condizioni di mercato </w:t>
      </w:r>
      <w:r w:rsidR="005841A3">
        <w:rPr>
          <w:rFonts w:ascii="Arial" w:hAnsi="Arial"/>
          <w:sz w:val="18"/>
          <w:szCs w:val="19"/>
        </w:rPr>
        <w:t>favorevoli</w:t>
      </w:r>
      <w:r>
        <w:rPr>
          <w:rFonts w:ascii="Arial" w:hAnsi="Arial"/>
          <w:sz w:val="18"/>
          <w:szCs w:val="19"/>
        </w:rPr>
        <w:t>.</w:t>
      </w:r>
    </w:p>
    <w:p w14:paraId="4C034071" w14:textId="77777777" w:rsidR="00A33C9C" w:rsidRPr="00D14232" w:rsidRDefault="00A33C9C" w:rsidP="00A33C9C">
      <w:pPr>
        <w:ind w:left="1134"/>
        <w:jc w:val="both"/>
        <w:rPr>
          <w:rFonts w:ascii="Arial" w:hAnsi="Arial" w:cs="Arial"/>
          <w:sz w:val="18"/>
          <w:szCs w:val="19"/>
        </w:rPr>
      </w:pPr>
    </w:p>
    <w:p w14:paraId="33CC1840" w14:textId="77777777" w:rsidR="00A33C9C" w:rsidRPr="00327D83" w:rsidRDefault="00A33C9C" w:rsidP="00A33C9C">
      <w:pPr>
        <w:spacing w:after="60"/>
        <w:ind w:left="1134"/>
        <w:jc w:val="both"/>
        <w:rPr>
          <w:rFonts w:ascii="Arial" w:hAnsi="Arial" w:cs="Arial"/>
          <w:b/>
          <w:sz w:val="18"/>
          <w:szCs w:val="18"/>
          <w:u w:val="single"/>
        </w:rPr>
      </w:pPr>
      <w:r>
        <w:rPr>
          <w:rFonts w:ascii="Arial" w:hAnsi="Arial"/>
          <w:b/>
          <w:sz w:val="18"/>
          <w:szCs w:val="18"/>
          <w:u w:val="single"/>
        </w:rPr>
        <w:t>SOCIETÀ VALUTATE CON IL METODO DEL PATRIMONIO NETTO</w:t>
      </w:r>
    </w:p>
    <w:p w14:paraId="37CB29FD" w14:textId="000316A2" w:rsidR="00A33C9C" w:rsidRPr="000277E3" w:rsidRDefault="00C07F1F" w:rsidP="00A33C9C">
      <w:pPr>
        <w:ind w:left="1134"/>
        <w:jc w:val="both"/>
        <w:rPr>
          <w:rFonts w:ascii="Arial" w:hAnsi="Arial" w:cs="Arial"/>
          <w:sz w:val="18"/>
          <w:szCs w:val="19"/>
        </w:rPr>
      </w:pPr>
      <w:r>
        <w:rPr>
          <w:rFonts w:ascii="Arial" w:hAnsi="Arial"/>
          <w:sz w:val="18"/>
          <w:szCs w:val="19"/>
        </w:rPr>
        <w:t xml:space="preserve">Nel primo semestre </w:t>
      </w:r>
      <w:r w:rsidR="00AB6DBA">
        <w:rPr>
          <w:rFonts w:ascii="Arial" w:hAnsi="Arial"/>
          <w:sz w:val="18"/>
          <w:szCs w:val="19"/>
        </w:rPr>
        <w:t xml:space="preserve">del </w:t>
      </w:r>
      <w:r>
        <w:rPr>
          <w:rFonts w:ascii="Arial" w:hAnsi="Arial"/>
          <w:sz w:val="18"/>
          <w:szCs w:val="19"/>
        </w:rPr>
        <w:t>2019</w:t>
      </w:r>
      <w:r w:rsidR="002676A6">
        <w:rPr>
          <w:rFonts w:ascii="Arial" w:hAnsi="Arial"/>
          <w:sz w:val="18"/>
          <w:szCs w:val="19"/>
        </w:rPr>
        <w:t>,</w:t>
      </w:r>
      <w:r>
        <w:rPr>
          <w:rFonts w:ascii="Arial" w:hAnsi="Arial"/>
          <w:sz w:val="18"/>
          <w:szCs w:val="19"/>
        </w:rPr>
        <w:t xml:space="preserve"> il risultato da società valutate con il metodo del patrimonio netto è pari a 38,4 milioni di euro, in leggero calo rispetto del primo semestre del 2018</w:t>
      </w:r>
      <w:r w:rsidR="00E25A75" w:rsidRPr="00E25A75">
        <w:rPr>
          <w:rFonts w:ascii="Arial" w:hAnsi="Arial"/>
          <w:sz w:val="18"/>
          <w:szCs w:val="19"/>
        </w:rPr>
        <w:t xml:space="preserve"> </w:t>
      </w:r>
      <w:r w:rsidR="00E25A75">
        <w:rPr>
          <w:rFonts w:ascii="Arial" w:hAnsi="Arial"/>
          <w:sz w:val="18"/>
          <w:szCs w:val="19"/>
        </w:rPr>
        <w:t>(a 39,2 milioni di euro)</w:t>
      </w:r>
      <w:r>
        <w:rPr>
          <w:rFonts w:ascii="Arial" w:hAnsi="Arial"/>
          <w:sz w:val="18"/>
          <w:szCs w:val="19"/>
        </w:rPr>
        <w:t>.</w:t>
      </w:r>
    </w:p>
    <w:p w14:paraId="0816A77B" w14:textId="77777777" w:rsidR="00A33C9C" w:rsidRPr="00D14232" w:rsidRDefault="00A33C9C" w:rsidP="00A33C9C">
      <w:pPr>
        <w:ind w:left="1134"/>
        <w:jc w:val="both"/>
        <w:rPr>
          <w:rFonts w:ascii="Arial" w:hAnsi="Arial" w:cs="Arial"/>
          <w:sz w:val="18"/>
          <w:szCs w:val="19"/>
        </w:rPr>
      </w:pPr>
    </w:p>
    <w:p w14:paraId="6823C19E" w14:textId="77777777" w:rsidR="00A33C9C" w:rsidRPr="000277E3" w:rsidRDefault="00A33C9C" w:rsidP="00A33C9C">
      <w:pPr>
        <w:spacing w:after="60"/>
        <w:ind w:left="1134"/>
        <w:jc w:val="both"/>
        <w:rPr>
          <w:rFonts w:ascii="Arial" w:hAnsi="Arial" w:cs="Arial"/>
          <w:b/>
          <w:sz w:val="18"/>
          <w:szCs w:val="18"/>
          <w:u w:val="single"/>
        </w:rPr>
      </w:pPr>
      <w:r>
        <w:rPr>
          <w:rFonts w:ascii="Arial" w:hAnsi="Arial"/>
          <w:b/>
          <w:sz w:val="18"/>
          <w:szCs w:val="18"/>
          <w:u w:val="single"/>
        </w:rPr>
        <w:t>RISULTATO NETTO DI PERTINENZA DEL GRUPPO</w:t>
      </w:r>
    </w:p>
    <w:p w14:paraId="3EC7C37C" w14:textId="621B2017" w:rsidR="00A33C9C" w:rsidRPr="000277E3" w:rsidRDefault="00C07F1F" w:rsidP="00A33C9C">
      <w:pPr>
        <w:ind w:left="1134"/>
        <w:jc w:val="both"/>
        <w:rPr>
          <w:rFonts w:ascii="Arial" w:hAnsi="Arial" w:cs="Arial"/>
          <w:sz w:val="18"/>
          <w:szCs w:val="19"/>
        </w:rPr>
      </w:pPr>
      <w:r>
        <w:rPr>
          <w:rFonts w:ascii="Arial" w:hAnsi="Arial"/>
          <w:sz w:val="18"/>
          <w:szCs w:val="19"/>
        </w:rPr>
        <w:t xml:space="preserve">Nel primo semestre </w:t>
      </w:r>
      <w:r w:rsidR="00AB6DBA">
        <w:rPr>
          <w:rFonts w:ascii="Arial" w:hAnsi="Arial"/>
          <w:sz w:val="18"/>
          <w:szCs w:val="19"/>
        </w:rPr>
        <w:t xml:space="preserve">del </w:t>
      </w:r>
      <w:r>
        <w:rPr>
          <w:rFonts w:ascii="Arial" w:hAnsi="Arial"/>
          <w:sz w:val="18"/>
          <w:szCs w:val="19"/>
        </w:rPr>
        <w:t xml:space="preserve">2019, </w:t>
      </w:r>
      <w:r w:rsidR="002676A6">
        <w:rPr>
          <w:rFonts w:ascii="Arial" w:hAnsi="Arial"/>
          <w:sz w:val="18"/>
          <w:szCs w:val="19"/>
        </w:rPr>
        <w:t xml:space="preserve">il risultato </w:t>
      </w:r>
      <w:r>
        <w:rPr>
          <w:rFonts w:ascii="Arial" w:hAnsi="Arial"/>
          <w:sz w:val="18"/>
          <w:szCs w:val="19"/>
        </w:rPr>
        <w:t xml:space="preserve">netto </w:t>
      </w:r>
      <w:r w:rsidR="002676A6">
        <w:rPr>
          <w:rFonts w:ascii="Arial" w:hAnsi="Arial"/>
          <w:sz w:val="18"/>
          <w:szCs w:val="19"/>
        </w:rPr>
        <w:t xml:space="preserve">di pertinenza </w:t>
      </w:r>
      <w:r w:rsidR="00E25A75">
        <w:rPr>
          <w:rFonts w:ascii="Arial" w:hAnsi="Arial"/>
          <w:sz w:val="18"/>
          <w:szCs w:val="19"/>
        </w:rPr>
        <w:t xml:space="preserve">del Gruppo </w:t>
      </w:r>
      <w:r>
        <w:rPr>
          <w:rFonts w:ascii="Arial" w:hAnsi="Arial"/>
          <w:sz w:val="18"/>
          <w:szCs w:val="19"/>
        </w:rPr>
        <w:t>al lordo delle svalutazioni è aumentato del +80,</w:t>
      </w:r>
      <w:r w:rsidR="00E25A75">
        <w:rPr>
          <w:rFonts w:ascii="Arial" w:hAnsi="Arial"/>
          <w:sz w:val="18"/>
          <w:szCs w:val="19"/>
        </w:rPr>
        <w:t>8</w:t>
      </w:r>
      <w:r>
        <w:rPr>
          <w:rFonts w:ascii="Arial" w:hAnsi="Arial"/>
          <w:sz w:val="18"/>
          <w:szCs w:val="19"/>
        </w:rPr>
        <w:t xml:space="preserve">% e si attesta a 93,1 milioni di euro, rispetto ai 51,5 milioni di euro del primo semestre </w:t>
      </w:r>
      <w:r w:rsidR="00D402B9">
        <w:rPr>
          <w:rFonts w:ascii="Arial" w:hAnsi="Arial"/>
          <w:sz w:val="18"/>
          <w:szCs w:val="19"/>
        </w:rPr>
        <w:t xml:space="preserve">del </w:t>
      </w:r>
      <w:r>
        <w:rPr>
          <w:rFonts w:ascii="Arial" w:hAnsi="Arial"/>
          <w:sz w:val="18"/>
          <w:szCs w:val="19"/>
        </w:rPr>
        <w:t xml:space="preserve">2018, includendo un impatto positivo di 24,3 milioni di euro relativo </w:t>
      </w:r>
      <w:r w:rsidR="005841A3">
        <w:rPr>
          <w:rFonts w:ascii="Arial" w:hAnsi="Arial"/>
          <w:sz w:val="18"/>
          <w:szCs w:val="19"/>
        </w:rPr>
        <w:t xml:space="preserve">all’applicazione della norma IFRS 16 al nostro core business, che ci porta </w:t>
      </w:r>
      <w:r>
        <w:rPr>
          <w:rFonts w:ascii="Arial" w:hAnsi="Arial"/>
          <w:sz w:val="18"/>
          <w:szCs w:val="19"/>
        </w:rPr>
        <w:t>all'assunzione di debiti per locazioni e diritti d'uso relativi alle rinegoziazioni contrattuali del periodo.</w:t>
      </w:r>
    </w:p>
    <w:p w14:paraId="10A333E8" w14:textId="77777777" w:rsidR="00A33C9C" w:rsidRPr="00D14232" w:rsidRDefault="00A33C9C" w:rsidP="00A33C9C">
      <w:pPr>
        <w:ind w:left="1134"/>
        <w:jc w:val="both"/>
        <w:rPr>
          <w:rFonts w:ascii="Arial" w:hAnsi="Arial" w:cs="Arial"/>
          <w:sz w:val="18"/>
          <w:szCs w:val="19"/>
        </w:rPr>
      </w:pPr>
    </w:p>
    <w:p w14:paraId="600B062C" w14:textId="0758F440" w:rsidR="00A33C9C" w:rsidRPr="000277E3" w:rsidRDefault="00A33C9C" w:rsidP="00A33C9C">
      <w:pPr>
        <w:ind w:left="1134"/>
        <w:jc w:val="both"/>
        <w:rPr>
          <w:rFonts w:ascii="Arial" w:hAnsi="Arial" w:cs="Arial"/>
          <w:sz w:val="18"/>
          <w:szCs w:val="19"/>
        </w:rPr>
      </w:pPr>
      <w:r>
        <w:rPr>
          <w:rFonts w:ascii="Arial" w:hAnsi="Arial"/>
          <w:sz w:val="18"/>
          <w:szCs w:val="19"/>
        </w:rPr>
        <w:t xml:space="preserve">Dopo l'impatto degli oneri derivanti dalla riduzione di valore, il risultato netto di pertinenza del Gruppo è aumentato del +86,8% a 96,0 milioni di euro rispetto ai 51,4 milioni di euro del primo semestre </w:t>
      </w:r>
      <w:r w:rsidR="00D402B9">
        <w:rPr>
          <w:rFonts w:ascii="Arial" w:hAnsi="Arial"/>
          <w:sz w:val="18"/>
          <w:szCs w:val="19"/>
        </w:rPr>
        <w:t xml:space="preserve">del </w:t>
      </w:r>
      <w:r>
        <w:rPr>
          <w:rFonts w:ascii="Arial" w:hAnsi="Arial"/>
          <w:sz w:val="18"/>
          <w:szCs w:val="19"/>
        </w:rPr>
        <w:t>2018.</w:t>
      </w:r>
    </w:p>
    <w:p w14:paraId="21F8BD59" w14:textId="77777777" w:rsidR="00A33C9C" w:rsidRPr="00D14232" w:rsidRDefault="00A33C9C" w:rsidP="00A33C9C">
      <w:pPr>
        <w:ind w:left="1134"/>
        <w:jc w:val="both"/>
        <w:rPr>
          <w:rFonts w:ascii="Arial" w:hAnsi="Arial" w:cs="Arial"/>
          <w:sz w:val="18"/>
          <w:szCs w:val="19"/>
        </w:rPr>
      </w:pPr>
    </w:p>
    <w:p w14:paraId="5E84C05E" w14:textId="77777777" w:rsidR="00A33C9C" w:rsidRPr="000277E3" w:rsidRDefault="00A33C9C" w:rsidP="00A33C9C">
      <w:pPr>
        <w:spacing w:after="60"/>
        <w:ind w:left="1134"/>
        <w:jc w:val="both"/>
        <w:rPr>
          <w:rFonts w:ascii="Arial" w:hAnsi="Arial" w:cs="Arial"/>
          <w:b/>
          <w:sz w:val="18"/>
          <w:szCs w:val="18"/>
          <w:u w:val="single"/>
        </w:rPr>
      </w:pPr>
      <w:r>
        <w:rPr>
          <w:rFonts w:ascii="Arial" w:hAnsi="Arial"/>
          <w:b/>
          <w:sz w:val="18"/>
          <w:szCs w:val="18"/>
          <w:u w:val="single"/>
        </w:rPr>
        <w:t>INVESTIMENTI RIDETERMINATI</w:t>
      </w:r>
    </w:p>
    <w:p w14:paraId="25D4C977" w14:textId="3F2BB875" w:rsidR="00A33C9C" w:rsidRPr="000277E3" w:rsidRDefault="00A33C9C" w:rsidP="00A33C9C">
      <w:pPr>
        <w:ind w:left="1134"/>
        <w:jc w:val="both"/>
        <w:rPr>
          <w:rFonts w:ascii="Arial" w:hAnsi="Arial" w:cs="Arial"/>
          <w:sz w:val="18"/>
          <w:szCs w:val="19"/>
        </w:rPr>
      </w:pPr>
      <w:r>
        <w:rPr>
          <w:rFonts w:ascii="Arial" w:hAnsi="Arial"/>
          <w:sz w:val="18"/>
          <w:szCs w:val="19"/>
        </w:rPr>
        <w:t xml:space="preserve">Nel primo semestre </w:t>
      </w:r>
      <w:r w:rsidR="00D402B9">
        <w:rPr>
          <w:rFonts w:ascii="Arial" w:hAnsi="Arial"/>
          <w:sz w:val="18"/>
          <w:szCs w:val="19"/>
        </w:rPr>
        <w:t xml:space="preserve">del </w:t>
      </w:r>
      <w:r>
        <w:rPr>
          <w:rFonts w:ascii="Arial" w:hAnsi="Arial"/>
          <w:sz w:val="18"/>
          <w:szCs w:val="19"/>
        </w:rPr>
        <w:t>2019</w:t>
      </w:r>
      <w:r w:rsidR="002676A6">
        <w:rPr>
          <w:rFonts w:ascii="Arial" w:hAnsi="Arial"/>
          <w:sz w:val="18"/>
          <w:szCs w:val="19"/>
        </w:rPr>
        <w:t>,</w:t>
      </w:r>
      <w:r>
        <w:rPr>
          <w:rFonts w:ascii="Arial" w:hAnsi="Arial"/>
          <w:sz w:val="18"/>
          <w:szCs w:val="19"/>
        </w:rPr>
        <w:t xml:space="preserve"> gli investimenti netti rideterminati (acquisizioni di immobilizzazioni materiali e immateriali, al netto delle cessioni) ammontano a 136,6 milioni di euro, rispetto ai 94,2 milioni di euro, in crescita rispetto allo stesso periodo dell'esercizio precedente, principalmente per effetto dei nuovi contratti di Arredo </w:t>
      </w:r>
      <w:r w:rsidR="002676A6">
        <w:rPr>
          <w:rFonts w:ascii="Arial" w:hAnsi="Arial"/>
          <w:sz w:val="18"/>
          <w:szCs w:val="19"/>
        </w:rPr>
        <w:t>U</w:t>
      </w:r>
      <w:r>
        <w:rPr>
          <w:rFonts w:ascii="Arial" w:hAnsi="Arial"/>
          <w:sz w:val="18"/>
          <w:szCs w:val="19"/>
        </w:rPr>
        <w:t>rbano in Europa e della digitalizzazione di tutte le nostre attività.</w:t>
      </w:r>
    </w:p>
    <w:p w14:paraId="6F41A29C" w14:textId="77777777" w:rsidR="00A33C9C" w:rsidRPr="00D14232" w:rsidRDefault="00A33C9C" w:rsidP="00A33C9C">
      <w:pPr>
        <w:ind w:left="1134"/>
        <w:jc w:val="both"/>
        <w:rPr>
          <w:rFonts w:ascii="Arial" w:hAnsi="Arial" w:cs="Arial"/>
          <w:sz w:val="18"/>
          <w:szCs w:val="19"/>
        </w:rPr>
      </w:pPr>
    </w:p>
    <w:p w14:paraId="44082658" w14:textId="77777777" w:rsidR="00A33C9C" w:rsidRPr="00A52883" w:rsidRDefault="00A33C9C" w:rsidP="00A33C9C">
      <w:pPr>
        <w:spacing w:after="60"/>
        <w:ind w:left="1134"/>
        <w:jc w:val="both"/>
        <w:rPr>
          <w:rFonts w:ascii="Arial" w:hAnsi="Arial" w:cs="Arial"/>
          <w:b/>
          <w:sz w:val="18"/>
          <w:szCs w:val="18"/>
          <w:u w:val="single"/>
        </w:rPr>
      </w:pPr>
      <w:r>
        <w:rPr>
          <w:rFonts w:ascii="Arial" w:hAnsi="Arial"/>
          <w:b/>
          <w:sz w:val="18"/>
          <w:szCs w:val="18"/>
          <w:u w:val="single"/>
        </w:rPr>
        <w:t>CASH-FLOW DISPONIBILE RIDETERMINATO</w:t>
      </w:r>
      <w:r>
        <w:rPr>
          <w:rFonts w:ascii="Arial" w:hAnsi="Arial"/>
          <w:b/>
          <w:sz w:val="18"/>
          <w:szCs w:val="18"/>
        </w:rPr>
        <w:t xml:space="preserve"> </w:t>
      </w:r>
      <w:r>
        <w:rPr>
          <w:rFonts w:ascii="Arial" w:hAnsi="Arial"/>
          <w:b/>
          <w:sz w:val="18"/>
          <w:szCs w:val="18"/>
          <w:vertAlign w:val="superscript"/>
        </w:rPr>
        <w:t>(4)</w:t>
      </w:r>
    </w:p>
    <w:p w14:paraId="07B3D890" w14:textId="3A9E9336" w:rsidR="00327D83" w:rsidRPr="00A52883" w:rsidRDefault="00A33C9C" w:rsidP="00327D83">
      <w:pPr>
        <w:ind w:left="1134"/>
        <w:jc w:val="both"/>
        <w:rPr>
          <w:rFonts w:ascii="Arial" w:hAnsi="Arial" w:cs="Arial"/>
          <w:sz w:val="18"/>
          <w:szCs w:val="19"/>
        </w:rPr>
      </w:pPr>
      <w:r>
        <w:rPr>
          <w:rFonts w:ascii="Arial" w:hAnsi="Arial"/>
          <w:sz w:val="18"/>
          <w:szCs w:val="19"/>
        </w:rPr>
        <w:t xml:space="preserve">Nel primo semestre </w:t>
      </w:r>
      <w:r w:rsidR="00D402B9">
        <w:rPr>
          <w:rFonts w:ascii="Arial" w:hAnsi="Arial"/>
          <w:sz w:val="18"/>
          <w:szCs w:val="19"/>
        </w:rPr>
        <w:t xml:space="preserve">del </w:t>
      </w:r>
      <w:r>
        <w:rPr>
          <w:rFonts w:ascii="Arial" w:hAnsi="Arial"/>
          <w:sz w:val="18"/>
          <w:szCs w:val="19"/>
        </w:rPr>
        <w:t xml:space="preserve">2019, il cash flow disponibile rideterminato è stato pari a -7,8 milioni di euro rispetto ai 38,4 milioni di euro del primo semestre </w:t>
      </w:r>
      <w:r w:rsidR="00D402B9">
        <w:rPr>
          <w:rFonts w:ascii="Arial" w:hAnsi="Arial"/>
          <w:sz w:val="18"/>
          <w:szCs w:val="19"/>
        </w:rPr>
        <w:t xml:space="preserve">del </w:t>
      </w:r>
      <w:r>
        <w:rPr>
          <w:rFonts w:ascii="Arial" w:hAnsi="Arial"/>
          <w:sz w:val="18"/>
          <w:szCs w:val="19"/>
        </w:rPr>
        <w:t xml:space="preserve">2018, nonostante un aumento dei nostri flussi operativi. Tale diminuzione è dovuta principalmente all'aumento del fabbisogno di capitale circolante a seguito di debiti fornitori e giacenze, malgrado una buona </w:t>
      </w:r>
      <w:r w:rsidR="005841A3">
        <w:rPr>
          <w:rFonts w:ascii="Arial" w:hAnsi="Arial"/>
          <w:sz w:val="18"/>
          <w:szCs w:val="19"/>
        </w:rPr>
        <w:t>gestione</w:t>
      </w:r>
      <w:r>
        <w:rPr>
          <w:rFonts w:ascii="Arial" w:hAnsi="Arial"/>
          <w:sz w:val="18"/>
          <w:szCs w:val="19"/>
        </w:rPr>
        <w:t xml:space="preserve"> </w:t>
      </w:r>
      <w:r w:rsidR="005841A3">
        <w:rPr>
          <w:rFonts w:ascii="Arial" w:hAnsi="Arial"/>
          <w:sz w:val="18"/>
          <w:szCs w:val="19"/>
        </w:rPr>
        <w:t xml:space="preserve">dei nostri incassi clienti </w:t>
      </w:r>
      <w:r>
        <w:rPr>
          <w:rFonts w:ascii="Arial" w:hAnsi="Arial"/>
          <w:sz w:val="18"/>
          <w:szCs w:val="19"/>
        </w:rPr>
        <w:t xml:space="preserve">e maggiori investimenti, come previsto, in linea con le significative aggiudicazioni contrattuali </w:t>
      </w:r>
      <w:r w:rsidR="00222260">
        <w:rPr>
          <w:rFonts w:ascii="Arial" w:hAnsi="Arial"/>
          <w:sz w:val="18"/>
          <w:szCs w:val="19"/>
        </w:rPr>
        <w:t xml:space="preserve">nel corso </w:t>
      </w:r>
      <w:r>
        <w:rPr>
          <w:rFonts w:ascii="Arial" w:hAnsi="Arial"/>
          <w:sz w:val="18"/>
          <w:szCs w:val="19"/>
        </w:rPr>
        <w:t xml:space="preserve">degli ultimi </w:t>
      </w:r>
      <w:r w:rsidR="00222260">
        <w:rPr>
          <w:rFonts w:ascii="Arial" w:hAnsi="Arial"/>
          <w:sz w:val="18"/>
          <w:szCs w:val="19"/>
        </w:rPr>
        <w:t xml:space="preserve">due </w:t>
      </w:r>
      <w:r>
        <w:rPr>
          <w:rFonts w:ascii="Arial" w:hAnsi="Arial"/>
          <w:sz w:val="18"/>
          <w:szCs w:val="19"/>
        </w:rPr>
        <w:t>anni.</w:t>
      </w:r>
    </w:p>
    <w:p w14:paraId="1987B095" w14:textId="77777777" w:rsidR="00A33C9C" w:rsidRPr="00D14232" w:rsidRDefault="00A33C9C" w:rsidP="00975433">
      <w:pPr>
        <w:ind w:left="1134"/>
        <w:jc w:val="both"/>
        <w:rPr>
          <w:rFonts w:ascii="Arial" w:hAnsi="Arial" w:cs="Arial"/>
          <w:sz w:val="18"/>
          <w:szCs w:val="19"/>
        </w:rPr>
      </w:pPr>
    </w:p>
    <w:p w14:paraId="058DF450" w14:textId="77777777" w:rsidR="00A33C9C" w:rsidRPr="00A52883" w:rsidRDefault="00A33C9C" w:rsidP="00A33C9C">
      <w:pPr>
        <w:spacing w:after="60"/>
        <w:ind w:left="1134"/>
        <w:jc w:val="both"/>
        <w:rPr>
          <w:rFonts w:ascii="Arial" w:hAnsi="Arial" w:cs="Arial"/>
          <w:b/>
          <w:sz w:val="18"/>
          <w:szCs w:val="18"/>
          <w:u w:val="single"/>
        </w:rPr>
      </w:pPr>
      <w:r>
        <w:rPr>
          <w:rFonts w:ascii="Arial" w:hAnsi="Arial"/>
          <w:b/>
          <w:sz w:val="18"/>
          <w:szCs w:val="18"/>
          <w:u w:val="single"/>
        </w:rPr>
        <w:t>DIVIDENDO</w:t>
      </w:r>
    </w:p>
    <w:p w14:paraId="31E24CAC" w14:textId="77777777" w:rsidR="00A33C9C" w:rsidRPr="000277E3" w:rsidRDefault="00A33C9C" w:rsidP="00A33C9C">
      <w:pPr>
        <w:ind w:left="1134"/>
        <w:jc w:val="both"/>
        <w:rPr>
          <w:rFonts w:ascii="Arial" w:hAnsi="Arial" w:cs="Arial"/>
          <w:sz w:val="18"/>
          <w:szCs w:val="19"/>
        </w:rPr>
      </w:pPr>
      <w:r>
        <w:rPr>
          <w:rFonts w:ascii="Arial" w:hAnsi="Arial"/>
          <w:sz w:val="18"/>
          <w:szCs w:val="19"/>
        </w:rPr>
        <w:t>Il dividendo di 0,58 euro per azione relativo all'esercizio 2018, deliberato dall'Assemblea degli Azionisti del 16 maggio 2019, è stato versato il 23 maggio 2019 per un importo complessivo di 123,4 milioni di euro.</w:t>
      </w:r>
    </w:p>
    <w:p w14:paraId="51A43162" w14:textId="77777777" w:rsidR="00A33C9C" w:rsidRPr="00D14232" w:rsidRDefault="00A33C9C" w:rsidP="00A33C9C">
      <w:pPr>
        <w:ind w:left="1134"/>
        <w:jc w:val="both"/>
        <w:rPr>
          <w:rFonts w:ascii="Arial" w:hAnsi="Arial" w:cs="Arial"/>
          <w:sz w:val="18"/>
          <w:szCs w:val="19"/>
        </w:rPr>
      </w:pPr>
    </w:p>
    <w:p w14:paraId="230760B5" w14:textId="77777777" w:rsidR="00A33C9C" w:rsidRPr="00CD5E60" w:rsidRDefault="00A33C9C" w:rsidP="00A33C9C">
      <w:pPr>
        <w:spacing w:after="60"/>
        <w:ind w:left="1134"/>
        <w:jc w:val="both"/>
        <w:rPr>
          <w:rFonts w:ascii="Arial" w:hAnsi="Arial" w:cs="Arial"/>
          <w:b/>
          <w:sz w:val="18"/>
          <w:szCs w:val="18"/>
          <w:u w:val="single"/>
        </w:rPr>
      </w:pPr>
      <w:r>
        <w:rPr>
          <w:rFonts w:ascii="Arial" w:hAnsi="Arial"/>
          <w:b/>
          <w:sz w:val="18"/>
          <w:szCs w:val="18"/>
          <w:u w:val="single"/>
        </w:rPr>
        <w:t>DEBITO NETTO</w:t>
      </w:r>
      <w:r>
        <w:rPr>
          <w:rFonts w:ascii="Arial" w:hAnsi="Arial"/>
          <w:b/>
          <w:sz w:val="18"/>
          <w:szCs w:val="18"/>
        </w:rPr>
        <w:t xml:space="preserve"> </w:t>
      </w:r>
      <w:r>
        <w:rPr>
          <w:rFonts w:ascii="Arial" w:hAnsi="Arial"/>
          <w:b/>
          <w:sz w:val="18"/>
          <w:szCs w:val="18"/>
          <w:vertAlign w:val="superscript"/>
        </w:rPr>
        <w:t>(5)</w:t>
      </w:r>
    </w:p>
    <w:p w14:paraId="6D15CD01" w14:textId="187A7E74" w:rsidR="00A33C9C" w:rsidRPr="000277E3" w:rsidRDefault="00C07F1F" w:rsidP="00A33C9C">
      <w:pPr>
        <w:ind w:left="1134"/>
        <w:jc w:val="both"/>
        <w:rPr>
          <w:rFonts w:ascii="Arial" w:hAnsi="Arial" w:cs="Arial"/>
          <w:sz w:val="18"/>
          <w:szCs w:val="19"/>
        </w:rPr>
      </w:pPr>
      <w:r>
        <w:rPr>
          <w:rFonts w:ascii="Arial" w:hAnsi="Arial"/>
          <w:sz w:val="18"/>
          <w:szCs w:val="19"/>
        </w:rPr>
        <w:t>Il debito netto al 30 giugno 2019 ammonta a 1.316,2 milioni di euro rispetto al debito netto di 473,8 milioni di euro al 30 giugno 201</w:t>
      </w:r>
      <w:r w:rsidR="00222260">
        <w:rPr>
          <w:rFonts w:ascii="Arial" w:hAnsi="Arial"/>
          <w:sz w:val="18"/>
          <w:szCs w:val="19"/>
        </w:rPr>
        <w:t>8</w:t>
      </w:r>
      <w:r w:rsidR="005841A3">
        <w:rPr>
          <w:rFonts w:ascii="Arial" w:hAnsi="Arial"/>
          <w:sz w:val="18"/>
          <w:szCs w:val="19"/>
        </w:rPr>
        <w:t xml:space="preserve">, principalmente a causa dell’acquisizione di APN Outdoor il 31 ottobre </w:t>
      </w:r>
      <w:r w:rsidR="004117FF">
        <w:rPr>
          <w:rFonts w:ascii="Arial" w:hAnsi="Arial"/>
          <w:sz w:val="18"/>
          <w:szCs w:val="19"/>
        </w:rPr>
        <w:t xml:space="preserve">del </w:t>
      </w:r>
      <w:r w:rsidR="005841A3">
        <w:rPr>
          <w:rFonts w:ascii="Arial" w:hAnsi="Arial"/>
          <w:sz w:val="18"/>
          <w:szCs w:val="19"/>
        </w:rPr>
        <w:t>2018</w:t>
      </w:r>
      <w:r>
        <w:rPr>
          <w:rFonts w:ascii="Arial" w:hAnsi="Arial"/>
          <w:sz w:val="18"/>
          <w:szCs w:val="19"/>
        </w:rPr>
        <w:t>.</w:t>
      </w:r>
    </w:p>
    <w:p w14:paraId="7866839D" w14:textId="77777777" w:rsidR="00960261" w:rsidRPr="00D14232" w:rsidRDefault="00960261" w:rsidP="00A33C9C">
      <w:pPr>
        <w:ind w:left="1134"/>
        <w:jc w:val="both"/>
        <w:rPr>
          <w:rFonts w:ascii="Arial" w:hAnsi="Arial" w:cs="Arial"/>
          <w:sz w:val="18"/>
          <w:szCs w:val="19"/>
        </w:rPr>
      </w:pPr>
    </w:p>
    <w:p w14:paraId="0FD41FBD" w14:textId="77777777" w:rsidR="00960261" w:rsidRPr="003F6782" w:rsidRDefault="00960261" w:rsidP="00960261">
      <w:pPr>
        <w:spacing w:after="60"/>
        <w:ind w:left="1134"/>
        <w:jc w:val="both"/>
        <w:rPr>
          <w:rFonts w:ascii="Arial" w:hAnsi="Arial" w:cs="Arial"/>
          <w:b/>
          <w:sz w:val="18"/>
          <w:szCs w:val="18"/>
          <w:u w:val="single"/>
        </w:rPr>
      </w:pPr>
      <w:r>
        <w:rPr>
          <w:rFonts w:ascii="Arial" w:hAnsi="Arial"/>
          <w:b/>
          <w:sz w:val="18"/>
          <w:szCs w:val="18"/>
          <w:u w:val="single"/>
        </w:rPr>
        <w:t>DIRITTI D'USO E PASSIVITÀ DI NOLEGGIO, IFRS 16</w:t>
      </w:r>
    </w:p>
    <w:p w14:paraId="57D25952" w14:textId="77777777" w:rsidR="00A33C9C" w:rsidRPr="003F6782" w:rsidRDefault="00960261" w:rsidP="00A33C9C">
      <w:pPr>
        <w:ind w:left="1134"/>
        <w:jc w:val="both"/>
        <w:rPr>
          <w:rFonts w:ascii="Arial" w:hAnsi="Arial" w:cs="Arial"/>
          <w:sz w:val="18"/>
          <w:szCs w:val="19"/>
        </w:rPr>
      </w:pPr>
      <w:r>
        <w:rPr>
          <w:rFonts w:ascii="Arial" w:hAnsi="Arial"/>
          <w:sz w:val="18"/>
          <w:szCs w:val="19"/>
        </w:rPr>
        <w:t>I diritti d'uso, IFRS 16 al 30 giugno 2019 ammontano a 4.618,1 milioni di euro rispetto ai 4.518,0 milioni di euro al 31 dicembre 2018, vale a dire un incremento relativo ai contratti nuovi, prorogati e rinnovati, parzialmente compensato dall'ammortamento dei diritti d'uso nel corso del periodo.</w:t>
      </w:r>
    </w:p>
    <w:p w14:paraId="3BB97974" w14:textId="77777777" w:rsidR="0088219D" w:rsidRPr="00D14232" w:rsidRDefault="0088219D" w:rsidP="00A33C9C">
      <w:pPr>
        <w:ind w:left="1134"/>
        <w:jc w:val="both"/>
        <w:rPr>
          <w:rFonts w:ascii="Arial" w:hAnsi="Arial" w:cs="Arial"/>
          <w:sz w:val="18"/>
          <w:szCs w:val="19"/>
        </w:rPr>
      </w:pPr>
    </w:p>
    <w:p w14:paraId="557528BD" w14:textId="4D250538" w:rsidR="0088219D" w:rsidRPr="000277E3" w:rsidRDefault="0088219D" w:rsidP="00A33C9C">
      <w:pPr>
        <w:ind w:left="1134"/>
        <w:jc w:val="both"/>
        <w:rPr>
          <w:rFonts w:ascii="Arial" w:hAnsi="Arial" w:cs="Arial"/>
          <w:sz w:val="18"/>
          <w:szCs w:val="19"/>
        </w:rPr>
      </w:pPr>
      <w:r>
        <w:rPr>
          <w:rFonts w:ascii="Arial" w:hAnsi="Arial"/>
          <w:sz w:val="18"/>
          <w:szCs w:val="19"/>
        </w:rPr>
        <w:t xml:space="preserve">Per effetto di questo rafforzamento del nostro portafoglio contratti, le passività per canoni di locazione, IFRS 16 sono aumentate di 31,1 milioni di euro, passando da 5.192,9 milioni di euro al 31 dicembre 2018 a 5.224,0 milioni di euro al 30 giugno 2019, con un aumento delle passività per canoni di locazione corrispondenti a contratti nuovi, prorogati e rinnovati, parzialmente compensato dal pagamento </w:t>
      </w:r>
      <w:r w:rsidR="005841A3">
        <w:rPr>
          <w:rFonts w:ascii="Arial" w:hAnsi="Arial"/>
          <w:sz w:val="18"/>
          <w:szCs w:val="19"/>
        </w:rPr>
        <w:t xml:space="preserve">e dalla rinegoziazione </w:t>
      </w:r>
      <w:r>
        <w:rPr>
          <w:rFonts w:ascii="Arial" w:hAnsi="Arial"/>
          <w:sz w:val="18"/>
          <w:szCs w:val="19"/>
        </w:rPr>
        <w:t>degli stessi</w:t>
      </w:r>
      <w:r w:rsidR="005841A3">
        <w:rPr>
          <w:rFonts w:ascii="Arial" w:hAnsi="Arial"/>
          <w:sz w:val="18"/>
          <w:szCs w:val="19"/>
        </w:rPr>
        <w:t xml:space="preserve"> canoni di locazione</w:t>
      </w:r>
      <w:r>
        <w:rPr>
          <w:rFonts w:ascii="Arial" w:hAnsi="Arial"/>
          <w:sz w:val="18"/>
          <w:szCs w:val="19"/>
        </w:rPr>
        <w:t xml:space="preserve"> nel corso del periodo.</w:t>
      </w:r>
    </w:p>
    <w:p w14:paraId="0AA8AD16" w14:textId="77777777" w:rsidR="00960261" w:rsidRPr="00D14232" w:rsidRDefault="00960261" w:rsidP="00A33C9C">
      <w:pPr>
        <w:ind w:left="1134"/>
        <w:jc w:val="both"/>
        <w:rPr>
          <w:rFonts w:ascii="Arial" w:hAnsi="Arial" w:cs="Arial"/>
          <w:sz w:val="18"/>
          <w:szCs w:val="19"/>
        </w:rPr>
      </w:pPr>
    </w:p>
    <w:p w14:paraId="0404D0FB" w14:textId="77777777" w:rsidR="00A33C9C" w:rsidRPr="00D14232" w:rsidRDefault="00A33C9C" w:rsidP="00A33C9C">
      <w:pPr>
        <w:ind w:left="1134"/>
        <w:jc w:val="both"/>
        <w:rPr>
          <w:rFonts w:ascii="Arial" w:hAnsi="Arial" w:cs="Arial"/>
          <w:sz w:val="18"/>
          <w:szCs w:val="19"/>
        </w:rPr>
      </w:pPr>
    </w:p>
    <w:p w14:paraId="47D1D233" w14:textId="77777777" w:rsidR="00A33C9C" w:rsidRPr="000277E3" w:rsidRDefault="00A33C9C" w:rsidP="00A33C9C">
      <w:pPr>
        <w:spacing w:after="60"/>
        <w:ind w:left="1134"/>
        <w:jc w:val="both"/>
        <w:rPr>
          <w:rFonts w:ascii="Arial" w:hAnsi="Arial" w:cs="Arial"/>
          <w:b/>
          <w:sz w:val="18"/>
          <w:szCs w:val="18"/>
          <w:u w:val="single"/>
        </w:rPr>
      </w:pPr>
      <w:r>
        <w:rPr>
          <w:rFonts w:ascii="Arial" w:hAnsi="Arial"/>
          <w:b/>
          <w:sz w:val="18"/>
          <w:szCs w:val="18"/>
          <w:u w:val="single"/>
        </w:rPr>
        <w:t>DATI RIDETERMINATI</w:t>
      </w:r>
    </w:p>
    <w:p w14:paraId="5779BE06" w14:textId="77777777" w:rsidR="00C07F1F" w:rsidRPr="000277E3" w:rsidRDefault="00C07F1F" w:rsidP="00C07F1F">
      <w:pPr>
        <w:pStyle w:val="Corpotesto"/>
        <w:ind w:left="1134"/>
        <w:rPr>
          <w:rFonts w:cs="Arial"/>
          <w:sz w:val="18"/>
          <w:szCs w:val="18"/>
        </w:rPr>
      </w:pPr>
      <w:r>
        <w:rPr>
          <w:sz w:val="18"/>
        </w:rPr>
        <w:t>La norma IFRS 11 applicabile dal 1° gennaio 2014 porta a utilizzare il metodo del patrimonio netto per le società a controllo congiunto.</w:t>
      </w:r>
    </w:p>
    <w:p w14:paraId="747BE1AA" w14:textId="77777777" w:rsidR="00D16DE1" w:rsidRPr="000277E3" w:rsidRDefault="00D16DE1" w:rsidP="00C07F1F">
      <w:pPr>
        <w:pStyle w:val="Corpotesto"/>
        <w:ind w:left="1134"/>
        <w:rPr>
          <w:rFonts w:cs="Arial"/>
          <w:sz w:val="18"/>
          <w:szCs w:val="18"/>
        </w:rPr>
      </w:pPr>
      <w:r>
        <w:rPr>
          <w:sz w:val="18"/>
          <w:szCs w:val="18"/>
        </w:rPr>
        <w:t>La norma IFRS 16, applicabile dal 1° gennaio 2019, prevede la rilevazione nello stato patrimoniale, per i contratti di locazione, di un debito per canoni fissi contrattuali in cambio di un diritto d'uso dei cespiti ammortizzato sulla durata del contratto di locazione. Nel conto economico, il canone fisso di locazione è sostituito dall'ammortamento del bene nel risultato di gestione, alla voce margine operativo, e dagli interessi passivi sul canone di locazione nel risultato finanziario, alla voce risultato di gestione. L'IFRS 16 non ha impatto sui pagamenti in contanti, ma il rimborso del capitale del debito per canoni di locazione è classificato come flusso di finanziamento.</w:t>
      </w:r>
    </w:p>
    <w:p w14:paraId="4F8D2FC4" w14:textId="77777777" w:rsidR="0088219D" w:rsidRPr="000277E3" w:rsidRDefault="00C07F1F" w:rsidP="00563A54">
      <w:pPr>
        <w:pStyle w:val="Corpotesto"/>
        <w:ind w:left="1134"/>
        <w:rPr>
          <w:rFonts w:cs="Arial"/>
          <w:sz w:val="18"/>
          <w:szCs w:val="18"/>
        </w:rPr>
      </w:pPr>
      <w:r>
        <w:rPr>
          <w:sz w:val="18"/>
          <w:szCs w:val="18"/>
        </w:rPr>
        <w:t>Tuttavia, al fine di riflettere la realtà operativa del Gruppo e la leggibilità della nostra performance, i dati di reporting del management operativo del Gruppo, su cui i dirigenti fanno affidamento per monitorare l'attività, allocare le risorse e misurare le prestazioni, continuano a:</w:t>
      </w:r>
    </w:p>
    <w:p w14:paraId="766E5987" w14:textId="77777777" w:rsidR="0088219D" w:rsidRPr="000277E3" w:rsidRDefault="0088219D" w:rsidP="0088219D">
      <w:pPr>
        <w:pStyle w:val="Corpotesto"/>
        <w:numPr>
          <w:ilvl w:val="0"/>
          <w:numId w:val="15"/>
        </w:numPr>
        <w:ind w:left="1418" w:hanging="283"/>
        <w:rPr>
          <w:rFonts w:cs="Arial"/>
          <w:sz w:val="18"/>
          <w:szCs w:val="18"/>
        </w:rPr>
      </w:pPr>
      <w:r>
        <w:rPr>
          <w:sz w:val="18"/>
          <w:szCs w:val="18"/>
        </w:rPr>
        <w:t>consolidare proporzionalmente i dati operativi delle società a controllo congiunto;</w:t>
      </w:r>
    </w:p>
    <w:p w14:paraId="026D7C65" w14:textId="77777777" w:rsidR="000277E3" w:rsidRPr="000277E3" w:rsidRDefault="000277E3" w:rsidP="0088219D">
      <w:pPr>
        <w:pStyle w:val="Corpotesto"/>
        <w:numPr>
          <w:ilvl w:val="0"/>
          <w:numId w:val="15"/>
        </w:numPr>
        <w:ind w:left="1418" w:hanging="283"/>
        <w:rPr>
          <w:rFonts w:cs="Arial"/>
          <w:sz w:val="18"/>
          <w:szCs w:val="18"/>
        </w:rPr>
      </w:pPr>
      <w:r>
        <w:rPr>
          <w:sz w:val="18"/>
          <w:szCs w:val="18"/>
        </w:rPr>
        <w:t>escludere l'impatto dell'IFRS 16 sui nostri contratti di locazione "core business" (contratti di locazione di spazi destinati a strutture pubblicitarie diversi da quelli di locazione immobiliare e di veicoli).</w:t>
      </w:r>
    </w:p>
    <w:p w14:paraId="3D49D4FB" w14:textId="77777777" w:rsidR="000277E3" w:rsidRPr="000277E3" w:rsidRDefault="000277E3" w:rsidP="000277E3">
      <w:pPr>
        <w:pStyle w:val="Corpotesto"/>
        <w:ind w:left="1134"/>
        <w:rPr>
          <w:rFonts w:cs="Arial"/>
          <w:sz w:val="18"/>
          <w:szCs w:val="18"/>
        </w:rPr>
      </w:pPr>
      <w:r>
        <w:rPr>
          <w:sz w:val="18"/>
          <w:szCs w:val="18"/>
        </w:rPr>
        <w:t>Per il conto economico si intendono tutti i totali fino al risultato operativo incluso. Per il rendiconto dei flussi di cassa si intendono tutti i totali fino al cash flow disponibile.</w:t>
      </w:r>
    </w:p>
    <w:p w14:paraId="547C740E" w14:textId="77777777" w:rsidR="00C07F1F" w:rsidRPr="000277E3" w:rsidRDefault="00C07F1F" w:rsidP="00C07F1F">
      <w:pPr>
        <w:pStyle w:val="Corpotesto"/>
        <w:ind w:left="1134"/>
        <w:rPr>
          <w:rFonts w:cs="Arial"/>
          <w:sz w:val="18"/>
          <w:szCs w:val="18"/>
        </w:rPr>
      </w:pPr>
      <w:r>
        <w:rPr>
          <w:sz w:val="18"/>
          <w:szCs w:val="18"/>
        </w:rPr>
        <w:t>Di conseguenza, ai sensi dell'IFRS 8, l'informativa di settore integrata nel bilancio è in linea con questa informativa interna e, pertanto, la comunicazione finanziaria esterna del Gruppo si basa su tale informativa finanziaria operativa. Le informazioni finanziarie e i commenti si basano pertanto su dati "rideterminati", confrontabili con i dati storici, che vengono sistematicamente riconciliati con i bilanci IFRS.</w:t>
      </w:r>
    </w:p>
    <w:p w14:paraId="457D29E2" w14:textId="77777777" w:rsidR="00A33C9C" w:rsidRPr="00D14232" w:rsidRDefault="00A33C9C" w:rsidP="00A33C9C">
      <w:pPr>
        <w:pStyle w:val="Corpotesto"/>
        <w:ind w:left="1134"/>
        <w:rPr>
          <w:rFonts w:cs="Arial"/>
          <w:sz w:val="18"/>
          <w:szCs w:val="18"/>
        </w:rPr>
      </w:pPr>
    </w:p>
    <w:p w14:paraId="6DBC930C" w14:textId="6B16EAA0" w:rsidR="00A33C9C" w:rsidRPr="000277E3" w:rsidRDefault="00A33C9C" w:rsidP="00A33C9C">
      <w:pPr>
        <w:pStyle w:val="Corpotesto"/>
        <w:ind w:left="1134"/>
        <w:rPr>
          <w:rFonts w:cs="Arial"/>
          <w:sz w:val="18"/>
          <w:szCs w:val="18"/>
        </w:rPr>
      </w:pPr>
      <w:r>
        <w:rPr>
          <w:sz w:val="18"/>
          <w:szCs w:val="18"/>
        </w:rPr>
        <w:t xml:space="preserve">Nel primo semestre </w:t>
      </w:r>
      <w:r w:rsidR="00D402B9">
        <w:rPr>
          <w:sz w:val="18"/>
          <w:szCs w:val="18"/>
        </w:rPr>
        <w:t xml:space="preserve">del </w:t>
      </w:r>
      <w:r>
        <w:rPr>
          <w:sz w:val="18"/>
          <w:szCs w:val="18"/>
        </w:rPr>
        <w:t>2019, gli impatti delle norme IFRS 11 e IFRS 16 sui nostri totali rideterminati sono indicati come segue:</w:t>
      </w:r>
    </w:p>
    <w:p w14:paraId="76622C4A" w14:textId="696FA29A" w:rsidR="00A33C9C" w:rsidRPr="000277E3" w:rsidRDefault="00A33C9C" w:rsidP="00A33C9C">
      <w:pPr>
        <w:pStyle w:val="Corpotesto"/>
        <w:numPr>
          <w:ilvl w:val="0"/>
          <w:numId w:val="15"/>
        </w:numPr>
        <w:ind w:left="1418" w:hanging="283"/>
        <w:rPr>
          <w:rFonts w:cs="Arial"/>
          <w:sz w:val="18"/>
          <w:szCs w:val="18"/>
        </w:rPr>
      </w:pPr>
      <w:r>
        <w:rPr>
          <w:sz w:val="18"/>
          <w:szCs w:val="18"/>
        </w:rPr>
        <w:t xml:space="preserve">-190,9 milioni di euro per la norma IFRS 11 sul fatturato rideterminato (-195,5 milioni di euro per la norma IFRS 11 nel primo semestre </w:t>
      </w:r>
      <w:r w:rsidR="00D402B9">
        <w:rPr>
          <w:sz w:val="18"/>
          <w:szCs w:val="18"/>
        </w:rPr>
        <w:t xml:space="preserve">del </w:t>
      </w:r>
      <w:r>
        <w:rPr>
          <w:sz w:val="18"/>
          <w:szCs w:val="18"/>
        </w:rPr>
        <w:t xml:space="preserve">2018); il fatturato IFRS è quindi pari a 1.651,4 milioni di euro (1.447,8 milioni di euro nel primo semestre </w:t>
      </w:r>
      <w:r w:rsidR="00D402B9">
        <w:rPr>
          <w:sz w:val="18"/>
          <w:szCs w:val="18"/>
        </w:rPr>
        <w:t xml:space="preserve">del </w:t>
      </w:r>
      <w:r>
        <w:rPr>
          <w:sz w:val="18"/>
          <w:szCs w:val="18"/>
        </w:rPr>
        <w:t>2018).</w:t>
      </w:r>
    </w:p>
    <w:p w14:paraId="2F4A19AE" w14:textId="78B6AF30" w:rsidR="00A33C9C" w:rsidRPr="000277E3" w:rsidRDefault="00A33C9C" w:rsidP="00A33C9C">
      <w:pPr>
        <w:pStyle w:val="Corpotesto"/>
        <w:numPr>
          <w:ilvl w:val="0"/>
          <w:numId w:val="15"/>
        </w:numPr>
        <w:ind w:left="1418" w:hanging="283"/>
        <w:rPr>
          <w:rFonts w:cs="Arial"/>
          <w:sz w:val="18"/>
          <w:szCs w:val="18"/>
        </w:rPr>
      </w:pPr>
      <w:r>
        <w:rPr>
          <w:sz w:val="18"/>
          <w:szCs w:val="18"/>
        </w:rPr>
        <w:t>-53,5 milioni di euro per la norma IFRS 11 e 567,6 milioni di euro per la norma IFRS 16 sul margine operativo rideterminato (-53,3 milioni di euro per la norma IFRS 11 e 474,0 milioni di euro per la norma IFRS</w:t>
      </w:r>
      <w:r w:rsidR="002676A6">
        <w:rPr>
          <w:sz w:val="18"/>
          <w:szCs w:val="18"/>
        </w:rPr>
        <w:t xml:space="preserve"> </w:t>
      </w:r>
      <w:r>
        <w:rPr>
          <w:sz w:val="18"/>
          <w:szCs w:val="18"/>
        </w:rPr>
        <w:t xml:space="preserve">16 nel primo semestre </w:t>
      </w:r>
      <w:r w:rsidR="00D402B9">
        <w:rPr>
          <w:sz w:val="18"/>
          <w:szCs w:val="18"/>
        </w:rPr>
        <w:t xml:space="preserve">del </w:t>
      </w:r>
      <w:r>
        <w:rPr>
          <w:sz w:val="18"/>
          <w:szCs w:val="18"/>
        </w:rPr>
        <w:t xml:space="preserve">2018); il margine operativo IFRS è quindi pari a 820,5 milioni di euro (657,4 milioni di euro nel primo semestre </w:t>
      </w:r>
      <w:r w:rsidR="00D402B9">
        <w:rPr>
          <w:sz w:val="18"/>
          <w:szCs w:val="18"/>
        </w:rPr>
        <w:t xml:space="preserve">del </w:t>
      </w:r>
      <w:r>
        <w:rPr>
          <w:sz w:val="18"/>
          <w:szCs w:val="18"/>
        </w:rPr>
        <w:t>2018).</w:t>
      </w:r>
    </w:p>
    <w:p w14:paraId="48C7F95C" w14:textId="56883BA7" w:rsidR="00A33C9C" w:rsidRPr="007D6BEB" w:rsidRDefault="00A33C9C" w:rsidP="00A33C9C">
      <w:pPr>
        <w:pStyle w:val="Corpotesto"/>
        <w:numPr>
          <w:ilvl w:val="0"/>
          <w:numId w:val="15"/>
        </w:numPr>
        <w:ind w:left="1418" w:hanging="283"/>
        <w:rPr>
          <w:rFonts w:cs="Arial"/>
          <w:sz w:val="18"/>
          <w:szCs w:val="18"/>
        </w:rPr>
      </w:pPr>
      <w:r>
        <w:rPr>
          <w:sz w:val="18"/>
          <w:szCs w:val="18"/>
        </w:rPr>
        <w:t xml:space="preserve">-40,9 milioni di euro per la norma IFRS 11 e 107,7 milioni di euro per la norma IFRS 16 sul risultato di gestione rideterminato al lordo degli oneri derivanti dalla riduzione di valore (-41,2 milioni di euro per la norma IFRS 11 e 58,5 milioni di euro per la norma IFRS16 nel primo semestre </w:t>
      </w:r>
      <w:r w:rsidR="00D402B9">
        <w:rPr>
          <w:sz w:val="18"/>
          <w:szCs w:val="18"/>
        </w:rPr>
        <w:t xml:space="preserve">del </w:t>
      </w:r>
      <w:r>
        <w:rPr>
          <w:sz w:val="18"/>
          <w:szCs w:val="18"/>
        </w:rPr>
        <w:t xml:space="preserve">2018); il risultato di gestione al lordo degli oneri derivanti dalla riduzione di valore IFRS è quindi pari a 202,9 milioni di euro (103,1 milioni di euro nel primo semestre </w:t>
      </w:r>
      <w:r w:rsidR="00D402B9">
        <w:rPr>
          <w:sz w:val="18"/>
          <w:szCs w:val="18"/>
        </w:rPr>
        <w:t xml:space="preserve">del </w:t>
      </w:r>
      <w:r>
        <w:rPr>
          <w:sz w:val="18"/>
          <w:szCs w:val="18"/>
        </w:rPr>
        <w:t>2018).</w:t>
      </w:r>
    </w:p>
    <w:p w14:paraId="3AB60D66" w14:textId="4D01758A" w:rsidR="00A33C9C" w:rsidRPr="007D6BEB" w:rsidRDefault="00C07F1F" w:rsidP="00A33C9C">
      <w:pPr>
        <w:pStyle w:val="Corpotesto"/>
        <w:numPr>
          <w:ilvl w:val="0"/>
          <w:numId w:val="15"/>
        </w:numPr>
        <w:ind w:left="1418" w:hanging="283"/>
        <w:rPr>
          <w:rFonts w:cs="Arial"/>
          <w:sz w:val="18"/>
          <w:szCs w:val="18"/>
        </w:rPr>
      </w:pPr>
      <w:r>
        <w:rPr>
          <w:sz w:val="18"/>
          <w:szCs w:val="18"/>
        </w:rPr>
        <w:t>-40,9 milioni di euro per la norma IFRS 11 e 107,7 milioni di euro per la norma IFRS 16 sul risultato di gestione rideterminato al netto degli oneri derivanti dalla riduzione di valore (-41,2 milioni di euro per la norma IFRS 11 e 58,5 milioni di euro per la norma IFRS</w:t>
      </w:r>
      <w:r w:rsidR="002676A6">
        <w:rPr>
          <w:sz w:val="18"/>
          <w:szCs w:val="18"/>
        </w:rPr>
        <w:t xml:space="preserve"> </w:t>
      </w:r>
      <w:r>
        <w:rPr>
          <w:sz w:val="18"/>
          <w:szCs w:val="18"/>
        </w:rPr>
        <w:t xml:space="preserve">16 nel primo semestre </w:t>
      </w:r>
      <w:r w:rsidR="00D402B9">
        <w:rPr>
          <w:sz w:val="18"/>
          <w:szCs w:val="18"/>
        </w:rPr>
        <w:t xml:space="preserve">del </w:t>
      </w:r>
      <w:r>
        <w:rPr>
          <w:sz w:val="18"/>
          <w:szCs w:val="18"/>
        </w:rPr>
        <w:t xml:space="preserve">2018); il risultato di gestione al netto degli oneri derivanti dalla riduzione di valore IFRS è quindi pari a 206,0 milioni di euro (103,0 milioni di euro nel primo semestre </w:t>
      </w:r>
      <w:r w:rsidR="00D402B9">
        <w:rPr>
          <w:sz w:val="18"/>
          <w:szCs w:val="18"/>
        </w:rPr>
        <w:t xml:space="preserve">del </w:t>
      </w:r>
      <w:r>
        <w:rPr>
          <w:sz w:val="18"/>
          <w:szCs w:val="18"/>
        </w:rPr>
        <w:t>2018).</w:t>
      </w:r>
    </w:p>
    <w:p w14:paraId="752CC6C3" w14:textId="666C3A75" w:rsidR="00A33C9C" w:rsidRPr="003F6782" w:rsidRDefault="00514455" w:rsidP="00A33C9C">
      <w:pPr>
        <w:pStyle w:val="Corpotesto"/>
        <w:numPr>
          <w:ilvl w:val="0"/>
          <w:numId w:val="15"/>
        </w:numPr>
        <w:ind w:left="1418" w:hanging="283"/>
        <w:rPr>
          <w:rFonts w:cs="Arial"/>
          <w:sz w:val="18"/>
          <w:szCs w:val="18"/>
        </w:rPr>
      </w:pPr>
      <w:r>
        <w:rPr>
          <w:sz w:val="18"/>
          <w:szCs w:val="18"/>
        </w:rPr>
        <w:t xml:space="preserve">5,5 milioni di euro per la norma IFRS 11 sugli investimenti rideterminati (4,4 milioni di euro per la norma IFRS 11 nel primo semestre </w:t>
      </w:r>
      <w:r w:rsidR="00D402B9">
        <w:rPr>
          <w:sz w:val="18"/>
          <w:szCs w:val="18"/>
        </w:rPr>
        <w:t xml:space="preserve">del </w:t>
      </w:r>
      <w:r>
        <w:rPr>
          <w:sz w:val="18"/>
          <w:szCs w:val="18"/>
        </w:rPr>
        <w:t xml:space="preserve">2018); gli investimenti IFRS sono quindi pari a -131,1 milioni di euro (-89,8 milioni di euro nel primo semestre </w:t>
      </w:r>
      <w:r w:rsidR="00D402B9">
        <w:rPr>
          <w:sz w:val="18"/>
          <w:szCs w:val="18"/>
        </w:rPr>
        <w:t xml:space="preserve">del </w:t>
      </w:r>
      <w:r>
        <w:rPr>
          <w:sz w:val="18"/>
          <w:szCs w:val="18"/>
        </w:rPr>
        <w:t>2018).</w:t>
      </w:r>
    </w:p>
    <w:p w14:paraId="51D21655" w14:textId="23D4515B" w:rsidR="00A33C9C" w:rsidRPr="003F6782" w:rsidRDefault="00C07F1F" w:rsidP="00A33C9C">
      <w:pPr>
        <w:pStyle w:val="Corpotesto"/>
        <w:numPr>
          <w:ilvl w:val="0"/>
          <w:numId w:val="15"/>
        </w:numPr>
        <w:ind w:left="1418" w:hanging="283"/>
        <w:rPr>
          <w:rFonts w:cs="Arial"/>
          <w:sz w:val="18"/>
          <w:szCs w:val="18"/>
        </w:rPr>
      </w:pPr>
      <w:r>
        <w:rPr>
          <w:sz w:val="18"/>
          <w:szCs w:val="18"/>
        </w:rPr>
        <w:t>-1,0 milioni di euro per la norma IFRS 11 e 554,1 milioni di euro per la norma IFRS 16 sul cash flow disponibile rideterminato (-34,8 milioni di euro per la norma IFRS 11 e 449,7 milioni di euro per la norma IFRS</w:t>
      </w:r>
      <w:r w:rsidR="002676A6">
        <w:rPr>
          <w:sz w:val="18"/>
          <w:szCs w:val="18"/>
        </w:rPr>
        <w:t xml:space="preserve"> </w:t>
      </w:r>
      <w:r>
        <w:rPr>
          <w:sz w:val="18"/>
          <w:szCs w:val="18"/>
        </w:rPr>
        <w:t xml:space="preserve">16 nel primo semestre </w:t>
      </w:r>
      <w:r w:rsidR="00D402B9">
        <w:rPr>
          <w:sz w:val="18"/>
          <w:szCs w:val="18"/>
        </w:rPr>
        <w:t xml:space="preserve">del </w:t>
      </w:r>
      <w:r>
        <w:rPr>
          <w:sz w:val="18"/>
          <w:szCs w:val="18"/>
        </w:rPr>
        <w:t xml:space="preserve">2018); il cash flow disponibile IFRS è quindi pari a 545,3 milioni di euro (453,3 milioni di euro nel primo semestre </w:t>
      </w:r>
      <w:r w:rsidR="00D402B9">
        <w:rPr>
          <w:sz w:val="18"/>
          <w:szCs w:val="18"/>
        </w:rPr>
        <w:t xml:space="preserve">del </w:t>
      </w:r>
      <w:r>
        <w:rPr>
          <w:sz w:val="18"/>
          <w:szCs w:val="18"/>
        </w:rPr>
        <w:t>2018).</w:t>
      </w:r>
    </w:p>
    <w:p w14:paraId="03AF9F83" w14:textId="77777777" w:rsidR="00A33C9C" w:rsidRPr="00D14232" w:rsidRDefault="00A33C9C" w:rsidP="00A33C9C">
      <w:pPr>
        <w:pStyle w:val="Corpotesto"/>
        <w:ind w:left="1134"/>
        <w:rPr>
          <w:rFonts w:cs="Arial"/>
          <w:sz w:val="18"/>
          <w:szCs w:val="18"/>
        </w:rPr>
      </w:pPr>
    </w:p>
    <w:p w14:paraId="038715E6" w14:textId="3D19D9D3" w:rsidR="00FC4CE6" w:rsidRPr="00822164" w:rsidRDefault="00A33C9C" w:rsidP="00A33C9C">
      <w:pPr>
        <w:pStyle w:val="Corpotesto"/>
        <w:ind w:left="1134"/>
        <w:rPr>
          <w:rFonts w:cs="Arial"/>
          <w:sz w:val="18"/>
          <w:szCs w:val="18"/>
        </w:rPr>
      </w:pPr>
      <w:r>
        <w:rPr>
          <w:sz w:val="18"/>
          <w:szCs w:val="18"/>
        </w:rPr>
        <w:t xml:space="preserve">La riconciliazione completa tra i dati rideterminati e i dati IFRS è disponibile a pagina </w:t>
      </w:r>
      <w:r w:rsidR="000D6E27">
        <w:rPr>
          <w:sz w:val="18"/>
          <w:szCs w:val="18"/>
        </w:rPr>
        <w:t>10</w:t>
      </w:r>
      <w:r>
        <w:rPr>
          <w:sz w:val="18"/>
          <w:szCs w:val="18"/>
        </w:rPr>
        <w:t xml:space="preserve"> del presente comunicato stampa.</w:t>
      </w:r>
    </w:p>
    <w:p w14:paraId="705FB998" w14:textId="77777777" w:rsidR="000F1209" w:rsidRPr="00D14232" w:rsidRDefault="000F1209" w:rsidP="000F1209">
      <w:pPr>
        <w:pStyle w:val="Corpotesto"/>
        <w:ind w:left="1134"/>
        <w:rPr>
          <w:rFonts w:cs="Arial"/>
          <w:sz w:val="18"/>
          <w:szCs w:val="18"/>
        </w:rPr>
      </w:pPr>
    </w:p>
    <w:p w14:paraId="23600065" w14:textId="77777777" w:rsidR="00A33C9C" w:rsidRPr="00D14232" w:rsidRDefault="00A33C9C" w:rsidP="000F1209">
      <w:pPr>
        <w:pStyle w:val="Corpotesto"/>
        <w:ind w:left="1134"/>
        <w:rPr>
          <w:rFonts w:cs="Arial"/>
          <w:sz w:val="18"/>
          <w:szCs w:val="18"/>
        </w:rPr>
      </w:pPr>
    </w:p>
    <w:p w14:paraId="34FBE60E" w14:textId="77777777" w:rsidR="00A33C9C" w:rsidRPr="00822164" w:rsidRDefault="00A33C9C" w:rsidP="00A33C9C">
      <w:pPr>
        <w:pStyle w:val="Corpotesto"/>
        <w:spacing w:after="60"/>
        <w:ind w:left="1134"/>
        <w:rPr>
          <w:rFonts w:cs="Arial"/>
          <w:b/>
          <w:bCs/>
          <w:sz w:val="18"/>
          <w:szCs w:val="18"/>
          <w:u w:val="single"/>
        </w:rPr>
      </w:pPr>
      <w:r>
        <w:rPr>
          <w:b/>
          <w:bCs/>
          <w:sz w:val="18"/>
          <w:szCs w:val="18"/>
          <w:u w:val="single"/>
        </w:rPr>
        <w:t>NOTE</w:t>
      </w:r>
    </w:p>
    <w:p w14:paraId="3EB565E0" w14:textId="77777777" w:rsidR="00A33C9C" w:rsidRPr="00822164" w:rsidRDefault="00A33C9C" w:rsidP="00A33C9C">
      <w:pPr>
        <w:numPr>
          <w:ilvl w:val="0"/>
          <w:numId w:val="5"/>
        </w:numPr>
        <w:tabs>
          <w:tab w:val="clear" w:pos="1907"/>
        </w:tabs>
        <w:ind w:left="1560" w:hanging="425"/>
        <w:jc w:val="both"/>
        <w:rPr>
          <w:rFonts w:ascii="Arial" w:hAnsi="Arial" w:cs="Arial"/>
          <w:bCs/>
          <w:sz w:val="16"/>
          <w:szCs w:val="16"/>
        </w:rPr>
      </w:pPr>
      <w:r>
        <w:rPr>
          <w:rFonts w:ascii="Arial" w:hAnsi="Arial"/>
          <w:b/>
          <w:bCs/>
          <w:sz w:val="16"/>
          <w:szCs w:val="16"/>
        </w:rPr>
        <w:t>Margine operativo:</w:t>
      </w:r>
      <w:r>
        <w:rPr>
          <w:rFonts w:ascii="Arial" w:hAnsi="Arial"/>
          <w:bCs/>
          <w:sz w:val="16"/>
          <w:szCs w:val="16"/>
        </w:rPr>
        <w:t xml:space="preserve"> Fatturato al netto dei costi di gestione diretti (esclusi i pezzi di ricambio per la manutenzione) e delle spese generali, amministrative e di vendita.</w:t>
      </w:r>
    </w:p>
    <w:p w14:paraId="50122475" w14:textId="77777777" w:rsidR="00A33C9C" w:rsidRPr="00822164" w:rsidRDefault="00A33C9C" w:rsidP="00A33C9C">
      <w:pPr>
        <w:numPr>
          <w:ilvl w:val="0"/>
          <w:numId w:val="5"/>
        </w:numPr>
        <w:tabs>
          <w:tab w:val="clear" w:pos="1907"/>
        </w:tabs>
        <w:ind w:left="1560" w:hanging="425"/>
        <w:jc w:val="both"/>
        <w:rPr>
          <w:rFonts w:ascii="Arial" w:hAnsi="Arial" w:cs="Arial"/>
          <w:bCs/>
          <w:sz w:val="16"/>
          <w:szCs w:val="16"/>
        </w:rPr>
      </w:pPr>
      <w:r>
        <w:rPr>
          <w:rFonts w:ascii="Arial" w:hAnsi="Arial"/>
          <w:b/>
          <w:bCs/>
          <w:sz w:val="16"/>
          <w:szCs w:val="16"/>
        </w:rPr>
        <w:t>Risultato di gestione:</w:t>
      </w:r>
      <w:r>
        <w:rPr>
          <w:rFonts w:ascii="Arial" w:hAnsi="Arial"/>
          <w:bCs/>
          <w:sz w:val="16"/>
          <w:szCs w:val="16"/>
        </w:rPr>
        <w:t xml:space="preserve"> Margine operativo al netto di ammortamenti e accantonamenti, svalutazione e goodwill, dei pezzi di ricambio per la manutenzione e di altri oneri e ricavi operativi.</w:t>
      </w:r>
    </w:p>
    <w:p w14:paraId="630D6D6D" w14:textId="5F2D8A19" w:rsidR="00A33C9C" w:rsidRPr="00822164" w:rsidRDefault="00A33C9C" w:rsidP="00A33C9C">
      <w:pPr>
        <w:numPr>
          <w:ilvl w:val="0"/>
          <w:numId w:val="5"/>
        </w:numPr>
        <w:tabs>
          <w:tab w:val="clear" w:pos="1907"/>
        </w:tabs>
        <w:ind w:left="1560" w:hanging="425"/>
        <w:jc w:val="both"/>
        <w:rPr>
          <w:rFonts w:ascii="Arial" w:hAnsi="Arial" w:cs="Arial"/>
          <w:bCs/>
          <w:sz w:val="16"/>
          <w:szCs w:val="16"/>
        </w:rPr>
      </w:pPr>
      <w:r>
        <w:rPr>
          <w:rFonts w:ascii="Arial" w:hAnsi="Arial"/>
          <w:b/>
          <w:bCs/>
          <w:sz w:val="16"/>
          <w:szCs w:val="16"/>
        </w:rPr>
        <w:t>Risultato finanziario:</w:t>
      </w:r>
      <w:r>
        <w:rPr>
          <w:rFonts w:ascii="Arial" w:hAnsi="Arial"/>
          <w:bCs/>
          <w:sz w:val="16"/>
          <w:szCs w:val="16"/>
        </w:rPr>
        <w:t xml:space="preserve"> Esclusi gli effetti degli oneri netti relativi all'attualizzazione e rivalutazione dei debiti per impegni di acquisto di quote di minoranza (-2,5 milioni di euro nel</w:t>
      </w:r>
      <w:r w:rsidR="00602E1E">
        <w:rPr>
          <w:rFonts w:ascii="Arial" w:hAnsi="Arial"/>
          <w:bCs/>
          <w:sz w:val="16"/>
          <w:szCs w:val="16"/>
        </w:rPr>
        <w:t xml:space="preserve"> primo semestre</w:t>
      </w:r>
      <w:r>
        <w:rPr>
          <w:rFonts w:ascii="Arial" w:hAnsi="Arial"/>
          <w:bCs/>
          <w:sz w:val="16"/>
          <w:szCs w:val="16"/>
        </w:rPr>
        <w:t xml:space="preserve"> </w:t>
      </w:r>
      <w:r w:rsidR="00D402B9">
        <w:rPr>
          <w:rFonts w:ascii="Arial" w:hAnsi="Arial"/>
          <w:bCs/>
          <w:sz w:val="16"/>
          <w:szCs w:val="16"/>
        </w:rPr>
        <w:t xml:space="preserve">del </w:t>
      </w:r>
      <w:r>
        <w:rPr>
          <w:rFonts w:ascii="Arial" w:hAnsi="Arial"/>
          <w:bCs/>
          <w:sz w:val="16"/>
          <w:szCs w:val="16"/>
        </w:rPr>
        <w:t xml:space="preserve">2019 e -0,3 milioni di euro nel primo semestre </w:t>
      </w:r>
      <w:r w:rsidR="009478C0">
        <w:rPr>
          <w:rFonts w:ascii="Arial" w:hAnsi="Arial"/>
          <w:bCs/>
          <w:sz w:val="16"/>
          <w:szCs w:val="16"/>
        </w:rPr>
        <w:t xml:space="preserve">del </w:t>
      </w:r>
      <w:r>
        <w:rPr>
          <w:rFonts w:ascii="Arial" w:hAnsi="Arial"/>
          <w:bCs/>
          <w:sz w:val="16"/>
          <w:szCs w:val="16"/>
        </w:rPr>
        <w:t>2018).</w:t>
      </w:r>
    </w:p>
    <w:p w14:paraId="152BCF09" w14:textId="77777777" w:rsidR="00A33C9C" w:rsidRPr="00822164" w:rsidRDefault="00A33C9C" w:rsidP="00A33C9C">
      <w:pPr>
        <w:numPr>
          <w:ilvl w:val="0"/>
          <w:numId w:val="5"/>
        </w:numPr>
        <w:tabs>
          <w:tab w:val="clear" w:pos="1907"/>
        </w:tabs>
        <w:ind w:left="1560" w:hanging="425"/>
        <w:jc w:val="both"/>
        <w:rPr>
          <w:rFonts w:ascii="Arial" w:hAnsi="Arial" w:cs="Arial"/>
          <w:bCs/>
          <w:sz w:val="16"/>
          <w:szCs w:val="16"/>
        </w:rPr>
      </w:pPr>
      <w:r>
        <w:rPr>
          <w:rFonts w:ascii="Arial" w:hAnsi="Arial"/>
          <w:b/>
          <w:bCs/>
          <w:sz w:val="16"/>
          <w:szCs w:val="16"/>
        </w:rPr>
        <w:t>Cash-flow disponibile:</w:t>
      </w:r>
      <w:r>
        <w:rPr>
          <w:rFonts w:ascii="Arial" w:hAnsi="Arial"/>
          <w:bCs/>
          <w:sz w:val="16"/>
          <w:szCs w:val="16"/>
        </w:rPr>
        <w:t xml:space="preserve"> Flusso netto da attività operative al netto degli acquisti di immobilizzazioni materiali e immateriali, al netto delle cessioni.</w:t>
      </w:r>
    </w:p>
    <w:p w14:paraId="4CB236FA" w14:textId="77777777" w:rsidR="00A33C9C" w:rsidRPr="00822164" w:rsidRDefault="00A33C9C" w:rsidP="00A33C9C">
      <w:pPr>
        <w:numPr>
          <w:ilvl w:val="0"/>
          <w:numId w:val="5"/>
        </w:numPr>
        <w:tabs>
          <w:tab w:val="clear" w:pos="1907"/>
        </w:tabs>
        <w:ind w:left="1560" w:hanging="425"/>
        <w:jc w:val="both"/>
        <w:rPr>
          <w:rFonts w:ascii="Arial" w:hAnsi="Arial" w:cs="Arial"/>
          <w:bCs/>
          <w:sz w:val="16"/>
          <w:szCs w:val="16"/>
        </w:rPr>
      </w:pPr>
      <w:r>
        <w:rPr>
          <w:rFonts w:ascii="Arial" w:hAnsi="Arial"/>
          <w:b/>
          <w:bCs/>
          <w:sz w:val="16"/>
          <w:szCs w:val="16"/>
        </w:rPr>
        <w:t>Debito netto:</w:t>
      </w:r>
      <w:r>
        <w:rPr>
          <w:rFonts w:ascii="Arial" w:hAnsi="Arial"/>
          <w:bCs/>
          <w:sz w:val="16"/>
          <w:szCs w:val="16"/>
        </w:rPr>
        <w:t xml:space="preserve"> Debito netto della liquidità gestita al netto degli scoperti bancari, esclusi gli impatti non monetari dello IAS 32 (passività su impegni di riacquisto di minoranza) e inclusi gli impatti non monetari dell’IFRS 9 (su strumenti di debito e strumenti di copertura) ed esclusi i debiti per canoni di locazione, IFRS 16.</w:t>
      </w:r>
    </w:p>
    <w:p w14:paraId="6BF40330" w14:textId="77777777" w:rsidR="000F1209" w:rsidRPr="000277E3" w:rsidRDefault="000F1209" w:rsidP="000F1209">
      <w:pPr>
        <w:ind w:left="1134"/>
        <w:rPr>
          <w:rFonts w:ascii="Arial" w:eastAsia="Times New Roman" w:hAnsi="Arial" w:cs="Arial"/>
          <w:sz w:val="18"/>
          <w:szCs w:val="18"/>
        </w:rPr>
      </w:pPr>
      <w:r>
        <w:br w:type="page"/>
      </w:r>
    </w:p>
    <w:p w14:paraId="0B2B37A2" w14:textId="77777777" w:rsidR="00BC3DB3" w:rsidRPr="000277E3" w:rsidRDefault="00BC3DB3" w:rsidP="00BC3DB3">
      <w:pPr>
        <w:spacing w:after="60"/>
        <w:ind w:left="1134"/>
        <w:jc w:val="both"/>
        <w:rPr>
          <w:rFonts w:ascii="Arial" w:hAnsi="Arial" w:cs="Arial"/>
          <w:b/>
          <w:sz w:val="18"/>
          <w:szCs w:val="18"/>
          <w:u w:val="single"/>
        </w:rPr>
      </w:pPr>
      <w:r>
        <w:rPr>
          <w:rFonts w:ascii="Arial" w:hAnsi="Arial"/>
          <w:b/>
          <w:sz w:val="18"/>
          <w:szCs w:val="18"/>
          <w:u w:val="single"/>
        </w:rPr>
        <w:t>DEFINIZIONE DELLA CRESCITA ORGANICA</w:t>
      </w:r>
    </w:p>
    <w:p w14:paraId="14020A9C" w14:textId="77777777" w:rsidR="004A7D50" w:rsidRPr="000277E3" w:rsidRDefault="00BC3DB3" w:rsidP="004A7D50">
      <w:pPr>
        <w:pStyle w:val="Corpotesto"/>
        <w:ind w:left="1134"/>
        <w:rPr>
          <w:rFonts w:cs="Arial"/>
          <w:sz w:val="18"/>
          <w:szCs w:val="18"/>
        </w:rPr>
      </w:pPr>
      <w:r>
        <w:rPr>
          <w:sz w:val="18"/>
          <w:szCs w:val="18"/>
        </w:rPr>
        <w:t xml:space="preserve">La crescita organica del Gruppo corrisponde all'aumento del fatturato al netto delle fluttuazioni valutarie e delle variazioni dell'area di consolidamento. L'anno di riferimento resta invariato rispetto ai dati pubblicati e la crescita organica è calcolata applicando i tassi di cambio medi dell'anno precedente al fatturato dell'anno in corso, e tenendo conto dei cambiamenti di perimetro </w:t>
      </w:r>
      <w:r>
        <w:rPr>
          <w:i/>
          <w:sz w:val="18"/>
          <w:szCs w:val="18"/>
        </w:rPr>
        <w:t>prorata temporis</w:t>
      </w:r>
      <w:r>
        <w:rPr>
          <w:sz w:val="18"/>
          <w:szCs w:val="18"/>
        </w:rPr>
        <w:t>, ma includendo le variazioni di fatturato relative agli utili su nuovi contratti e alle perdite su contratti precedentemente in essere.</w:t>
      </w:r>
      <w:r w:rsidR="00074826">
        <w:rPr>
          <w:sz w:val="18"/>
          <w:szCs w:val="18"/>
        </w:rPr>
        <w:t xml:space="preserve">  </w:t>
      </w:r>
    </w:p>
    <w:p w14:paraId="2D5DC476" w14:textId="77777777" w:rsidR="000F1209" w:rsidRPr="00D14232" w:rsidRDefault="000F1209" w:rsidP="004A7D50">
      <w:pPr>
        <w:pStyle w:val="Corpotesto"/>
        <w:ind w:left="1134"/>
        <w:rPr>
          <w:rFonts w:cs="Arial"/>
          <w:sz w:val="18"/>
          <w:szCs w:val="18"/>
        </w:rPr>
      </w:pPr>
    </w:p>
    <w:tbl>
      <w:tblPr>
        <w:tblW w:w="669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4"/>
        <w:gridCol w:w="1134"/>
        <w:gridCol w:w="1134"/>
        <w:gridCol w:w="1134"/>
        <w:gridCol w:w="1134"/>
      </w:tblGrid>
      <w:tr w:rsidR="00F9287A" w:rsidRPr="000277E3" w14:paraId="1B691DBE" w14:textId="77777777" w:rsidTr="00E070B4">
        <w:trPr>
          <w:trHeight w:val="533"/>
        </w:trPr>
        <w:tc>
          <w:tcPr>
            <w:tcW w:w="2154" w:type="dxa"/>
            <w:shd w:val="clear" w:color="auto" w:fill="auto"/>
            <w:vAlign w:val="center"/>
          </w:tcPr>
          <w:p w14:paraId="0146A8C8" w14:textId="77777777" w:rsidR="00F9287A" w:rsidRPr="000277E3" w:rsidRDefault="00F9287A" w:rsidP="00F9287A">
            <w:pPr>
              <w:jc w:val="center"/>
              <w:rPr>
                <w:rFonts w:ascii="Arial" w:hAnsi="Arial" w:cs="Arial"/>
                <w:b/>
                <w:sz w:val="18"/>
                <w:szCs w:val="18"/>
              </w:rPr>
            </w:pPr>
            <w:r>
              <w:rPr>
                <w:rFonts w:ascii="Arial" w:hAnsi="Arial"/>
                <w:bCs/>
                <w:sz w:val="18"/>
                <w:szCs w:val="18"/>
              </w:rPr>
              <w:t>m€</w:t>
            </w:r>
          </w:p>
        </w:tc>
        <w:tc>
          <w:tcPr>
            <w:tcW w:w="1134" w:type="dxa"/>
            <w:vAlign w:val="center"/>
          </w:tcPr>
          <w:p w14:paraId="0EC59FD4" w14:textId="77777777" w:rsidR="00F9287A" w:rsidRPr="000277E3" w:rsidRDefault="00F9287A" w:rsidP="00F9287A">
            <w:pPr>
              <w:jc w:val="center"/>
              <w:rPr>
                <w:rFonts w:ascii="Arial" w:hAnsi="Arial" w:cs="Arial"/>
                <w:position w:val="-30"/>
                <w:sz w:val="14"/>
                <w:szCs w:val="18"/>
                <w:lang w:val="fr-FR"/>
              </w:rPr>
            </w:pPr>
          </w:p>
        </w:tc>
        <w:tc>
          <w:tcPr>
            <w:tcW w:w="1134" w:type="dxa"/>
            <w:vAlign w:val="center"/>
          </w:tcPr>
          <w:p w14:paraId="4E915112" w14:textId="77777777" w:rsidR="00F9287A" w:rsidRPr="000277E3" w:rsidRDefault="00F9287A" w:rsidP="00F9287A">
            <w:pPr>
              <w:jc w:val="right"/>
              <w:rPr>
                <w:rFonts w:ascii="Arial" w:hAnsi="Arial" w:cs="Arial"/>
                <w:b/>
                <w:sz w:val="18"/>
                <w:szCs w:val="18"/>
              </w:rPr>
            </w:pPr>
            <w:r>
              <w:rPr>
                <w:rFonts w:ascii="Arial" w:hAnsi="Arial"/>
                <w:b/>
                <w:sz w:val="18"/>
                <w:szCs w:val="18"/>
              </w:rPr>
              <w:t>T1</w:t>
            </w:r>
          </w:p>
        </w:tc>
        <w:tc>
          <w:tcPr>
            <w:tcW w:w="1134" w:type="dxa"/>
            <w:vAlign w:val="center"/>
          </w:tcPr>
          <w:p w14:paraId="37E008B4" w14:textId="77777777" w:rsidR="00F9287A" w:rsidRPr="000277E3" w:rsidRDefault="00F9287A" w:rsidP="00F9287A">
            <w:pPr>
              <w:jc w:val="right"/>
              <w:rPr>
                <w:rFonts w:ascii="Arial" w:hAnsi="Arial" w:cs="Arial"/>
                <w:b/>
                <w:sz w:val="18"/>
                <w:szCs w:val="18"/>
              </w:rPr>
            </w:pPr>
            <w:r>
              <w:rPr>
                <w:rFonts w:ascii="Arial" w:hAnsi="Arial"/>
                <w:b/>
                <w:sz w:val="18"/>
                <w:szCs w:val="18"/>
              </w:rPr>
              <w:t>T2</w:t>
            </w:r>
          </w:p>
        </w:tc>
        <w:tc>
          <w:tcPr>
            <w:tcW w:w="1134" w:type="dxa"/>
            <w:tcBorders>
              <w:right w:val="single" w:sz="4" w:space="0" w:color="auto"/>
            </w:tcBorders>
            <w:vAlign w:val="center"/>
          </w:tcPr>
          <w:p w14:paraId="28BAA56D" w14:textId="77777777" w:rsidR="00F9287A" w:rsidRPr="000277E3" w:rsidRDefault="00F9287A" w:rsidP="00F9287A">
            <w:pPr>
              <w:jc w:val="right"/>
              <w:rPr>
                <w:rFonts w:ascii="Arial" w:hAnsi="Arial" w:cs="Arial"/>
                <w:b/>
                <w:sz w:val="18"/>
                <w:szCs w:val="18"/>
              </w:rPr>
            </w:pPr>
            <w:r>
              <w:rPr>
                <w:rFonts w:ascii="Arial" w:hAnsi="Arial"/>
                <w:b/>
                <w:sz w:val="18"/>
                <w:szCs w:val="18"/>
              </w:rPr>
              <w:t>S1</w:t>
            </w:r>
          </w:p>
        </w:tc>
      </w:tr>
      <w:tr w:rsidR="00F9287A" w:rsidRPr="000277E3" w14:paraId="0EB72DA0" w14:textId="77777777" w:rsidTr="00E070B4">
        <w:trPr>
          <w:trHeight w:val="113"/>
        </w:trPr>
        <w:tc>
          <w:tcPr>
            <w:tcW w:w="2154" w:type="dxa"/>
            <w:tcBorders>
              <w:left w:val="nil"/>
              <w:bottom w:val="single" w:sz="4" w:space="0" w:color="auto"/>
              <w:right w:val="nil"/>
            </w:tcBorders>
            <w:shd w:val="clear" w:color="auto" w:fill="auto"/>
            <w:vAlign w:val="center"/>
          </w:tcPr>
          <w:p w14:paraId="2AA6BF04" w14:textId="77777777" w:rsidR="00F9287A" w:rsidRPr="000277E3" w:rsidRDefault="00F9287A" w:rsidP="00F9287A">
            <w:pPr>
              <w:rPr>
                <w:rFonts w:ascii="Arial" w:hAnsi="Arial" w:cs="Arial"/>
                <w:sz w:val="2"/>
                <w:szCs w:val="2"/>
                <w:lang w:val="fr-FR"/>
              </w:rPr>
            </w:pPr>
          </w:p>
        </w:tc>
        <w:tc>
          <w:tcPr>
            <w:tcW w:w="1134" w:type="dxa"/>
            <w:tcBorders>
              <w:left w:val="nil"/>
              <w:bottom w:val="single" w:sz="4" w:space="0" w:color="auto"/>
              <w:right w:val="nil"/>
            </w:tcBorders>
            <w:vAlign w:val="center"/>
          </w:tcPr>
          <w:p w14:paraId="59FAD0BF" w14:textId="77777777" w:rsidR="00F9287A" w:rsidRPr="000277E3" w:rsidRDefault="00F9287A" w:rsidP="00F9287A">
            <w:pPr>
              <w:rPr>
                <w:rFonts w:ascii="Arial" w:hAnsi="Arial" w:cs="Arial"/>
                <w:sz w:val="2"/>
                <w:szCs w:val="2"/>
                <w:lang w:val="fr-FR"/>
              </w:rPr>
            </w:pPr>
          </w:p>
        </w:tc>
        <w:tc>
          <w:tcPr>
            <w:tcW w:w="1134" w:type="dxa"/>
            <w:tcBorders>
              <w:left w:val="nil"/>
              <w:bottom w:val="single" w:sz="4" w:space="0" w:color="auto"/>
              <w:right w:val="nil"/>
            </w:tcBorders>
            <w:vAlign w:val="center"/>
          </w:tcPr>
          <w:p w14:paraId="0627167E" w14:textId="77777777" w:rsidR="00F9287A" w:rsidRPr="000277E3" w:rsidRDefault="00F9287A" w:rsidP="00F9287A">
            <w:pPr>
              <w:rPr>
                <w:rFonts w:ascii="Arial" w:hAnsi="Arial" w:cs="Arial"/>
                <w:sz w:val="2"/>
                <w:szCs w:val="2"/>
                <w:lang w:val="fr-FR"/>
              </w:rPr>
            </w:pPr>
          </w:p>
        </w:tc>
        <w:tc>
          <w:tcPr>
            <w:tcW w:w="1134" w:type="dxa"/>
            <w:tcBorders>
              <w:left w:val="nil"/>
              <w:bottom w:val="single" w:sz="4" w:space="0" w:color="auto"/>
              <w:right w:val="nil"/>
            </w:tcBorders>
            <w:vAlign w:val="center"/>
          </w:tcPr>
          <w:p w14:paraId="249690DA" w14:textId="77777777" w:rsidR="00F9287A" w:rsidRPr="000277E3" w:rsidRDefault="00F9287A" w:rsidP="00F9287A">
            <w:pPr>
              <w:rPr>
                <w:rFonts w:ascii="Arial" w:hAnsi="Arial" w:cs="Arial"/>
                <w:sz w:val="2"/>
                <w:szCs w:val="2"/>
                <w:lang w:val="fr-FR"/>
              </w:rPr>
            </w:pPr>
          </w:p>
        </w:tc>
        <w:tc>
          <w:tcPr>
            <w:tcW w:w="1134" w:type="dxa"/>
            <w:tcBorders>
              <w:left w:val="nil"/>
              <w:bottom w:val="single" w:sz="4" w:space="0" w:color="auto"/>
              <w:right w:val="nil"/>
            </w:tcBorders>
            <w:vAlign w:val="center"/>
          </w:tcPr>
          <w:p w14:paraId="3F3FD410" w14:textId="77777777" w:rsidR="00F9287A" w:rsidRPr="000277E3" w:rsidRDefault="00F9287A" w:rsidP="00F9287A">
            <w:pPr>
              <w:rPr>
                <w:rFonts w:ascii="Arial" w:hAnsi="Arial" w:cs="Arial"/>
                <w:sz w:val="2"/>
                <w:szCs w:val="2"/>
                <w:lang w:val="fr-FR"/>
              </w:rPr>
            </w:pPr>
          </w:p>
        </w:tc>
      </w:tr>
      <w:tr w:rsidR="007E3DB2" w:rsidRPr="000277E3" w14:paraId="629EA624" w14:textId="77777777" w:rsidTr="00E070B4">
        <w:trPr>
          <w:trHeight w:val="284"/>
        </w:trPr>
        <w:tc>
          <w:tcPr>
            <w:tcW w:w="2154" w:type="dxa"/>
            <w:tcBorders>
              <w:bottom w:val="single" w:sz="4" w:space="0" w:color="auto"/>
            </w:tcBorders>
            <w:shd w:val="clear" w:color="auto" w:fill="auto"/>
            <w:vAlign w:val="center"/>
          </w:tcPr>
          <w:p w14:paraId="245E155D" w14:textId="77777777" w:rsidR="007E3DB2" w:rsidRPr="000277E3" w:rsidRDefault="007E3DB2" w:rsidP="007E3DB2">
            <w:pPr>
              <w:rPr>
                <w:rFonts w:ascii="Arial" w:hAnsi="Arial" w:cs="Arial"/>
                <w:b/>
                <w:sz w:val="18"/>
                <w:szCs w:val="18"/>
              </w:rPr>
            </w:pPr>
            <w:r>
              <w:rPr>
                <w:rFonts w:ascii="Arial" w:hAnsi="Arial"/>
                <w:b/>
                <w:sz w:val="18"/>
                <w:szCs w:val="18"/>
              </w:rPr>
              <w:t>Fatt ridim. 2018</w:t>
            </w:r>
          </w:p>
        </w:tc>
        <w:tc>
          <w:tcPr>
            <w:tcW w:w="1134" w:type="dxa"/>
            <w:tcBorders>
              <w:bottom w:val="single" w:sz="4" w:space="0" w:color="auto"/>
            </w:tcBorders>
            <w:vAlign w:val="center"/>
          </w:tcPr>
          <w:p w14:paraId="48665A24" w14:textId="77777777" w:rsidR="007E3DB2" w:rsidRPr="000277E3" w:rsidRDefault="007E3DB2" w:rsidP="007E3DB2">
            <w:pPr>
              <w:jc w:val="center"/>
              <w:rPr>
                <w:rFonts w:ascii="Arial" w:eastAsia="Times New Roman" w:hAnsi="Arial" w:cs="Arial"/>
                <w:b/>
                <w:sz w:val="14"/>
                <w:szCs w:val="18"/>
              </w:rPr>
            </w:pPr>
            <w:r>
              <w:rPr>
                <w:rFonts w:ascii="Arial" w:hAnsi="Arial"/>
                <w:b/>
                <w:sz w:val="14"/>
                <w:szCs w:val="18"/>
              </w:rPr>
              <w:t>(a)</w:t>
            </w:r>
          </w:p>
        </w:tc>
        <w:tc>
          <w:tcPr>
            <w:tcW w:w="1134" w:type="dxa"/>
            <w:tcBorders>
              <w:bottom w:val="single" w:sz="4" w:space="0" w:color="auto"/>
            </w:tcBorders>
            <w:vAlign w:val="center"/>
          </w:tcPr>
          <w:p w14:paraId="199CEA40" w14:textId="77777777" w:rsidR="007E3DB2" w:rsidRPr="000277E3" w:rsidRDefault="007E3DB2" w:rsidP="007E3DB2">
            <w:pPr>
              <w:jc w:val="right"/>
              <w:rPr>
                <w:rFonts w:ascii="Arial" w:eastAsia="Times New Roman" w:hAnsi="Arial" w:cs="Arial"/>
                <w:b/>
                <w:sz w:val="18"/>
                <w:szCs w:val="18"/>
              </w:rPr>
            </w:pPr>
            <w:r>
              <w:rPr>
                <w:rFonts w:ascii="Arial" w:hAnsi="Arial"/>
                <w:b/>
                <w:sz w:val="18"/>
                <w:szCs w:val="18"/>
              </w:rPr>
              <w:t>742,5</w:t>
            </w:r>
          </w:p>
        </w:tc>
        <w:tc>
          <w:tcPr>
            <w:tcW w:w="1134" w:type="dxa"/>
            <w:tcBorders>
              <w:bottom w:val="single" w:sz="4" w:space="0" w:color="auto"/>
            </w:tcBorders>
            <w:vAlign w:val="center"/>
          </w:tcPr>
          <w:p w14:paraId="33D3648E" w14:textId="77777777" w:rsidR="007E3DB2" w:rsidRPr="000277E3" w:rsidRDefault="007E3DB2" w:rsidP="007E3DB2">
            <w:pPr>
              <w:jc w:val="right"/>
              <w:rPr>
                <w:rFonts w:ascii="Arial" w:eastAsia="Times New Roman" w:hAnsi="Arial" w:cs="Arial"/>
                <w:b/>
                <w:sz w:val="18"/>
                <w:szCs w:val="18"/>
              </w:rPr>
            </w:pPr>
            <w:r>
              <w:rPr>
                <w:rFonts w:ascii="Arial" w:hAnsi="Arial"/>
                <w:b/>
                <w:sz w:val="18"/>
                <w:szCs w:val="18"/>
              </w:rPr>
              <w:t>900,8</w:t>
            </w:r>
          </w:p>
        </w:tc>
        <w:tc>
          <w:tcPr>
            <w:tcW w:w="1134" w:type="dxa"/>
            <w:tcBorders>
              <w:bottom w:val="single" w:sz="4" w:space="0" w:color="auto"/>
              <w:right w:val="single" w:sz="4" w:space="0" w:color="auto"/>
            </w:tcBorders>
            <w:vAlign w:val="center"/>
          </w:tcPr>
          <w:p w14:paraId="4FC5641E" w14:textId="77777777" w:rsidR="007E3DB2" w:rsidRPr="000277E3" w:rsidRDefault="007E3DB2" w:rsidP="007E3DB2">
            <w:pPr>
              <w:jc w:val="right"/>
              <w:rPr>
                <w:rFonts w:ascii="Arial" w:eastAsia="Times New Roman" w:hAnsi="Arial" w:cs="Arial"/>
                <w:b/>
                <w:sz w:val="18"/>
                <w:szCs w:val="18"/>
              </w:rPr>
            </w:pPr>
            <w:r>
              <w:rPr>
                <w:rFonts w:ascii="Arial" w:hAnsi="Arial"/>
                <w:b/>
                <w:sz w:val="18"/>
                <w:szCs w:val="18"/>
              </w:rPr>
              <w:t>1.643,3</w:t>
            </w:r>
          </w:p>
        </w:tc>
      </w:tr>
      <w:tr w:rsidR="00F9287A" w:rsidRPr="000277E3" w14:paraId="4806B950" w14:textId="77777777" w:rsidTr="00E070B4">
        <w:trPr>
          <w:trHeight w:val="113"/>
        </w:trPr>
        <w:tc>
          <w:tcPr>
            <w:tcW w:w="2154" w:type="dxa"/>
            <w:tcBorders>
              <w:left w:val="nil"/>
              <w:bottom w:val="single" w:sz="4" w:space="0" w:color="auto"/>
              <w:right w:val="nil"/>
            </w:tcBorders>
            <w:shd w:val="clear" w:color="auto" w:fill="auto"/>
            <w:vAlign w:val="center"/>
          </w:tcPr>
          <w:p w14:paraId="7B58ABB6" w14:textId="77777777" w:rsidR="00F9287A" w:rsidRPr="000277E3" w:rsidRDefault="00F9287A" w:rsidP="00F9287A">
            <w:pPr>
              <w:rPr>
                <w:rFonts w:ascii="Arial" w:hAnsi="Arial" w:cs="Arial"/>
                <w:sz w:val="2"/>
                <w:szCs w:val="2"/>
                <w:lang w:val="fr-FR"/>
              </w:rPr>
            </w:pPr>
          </w:p>
        </w:tc>
        <w:tc>
          <w:tcPr>
            <w:tcW w:w="1134" w:type="dxa"/>
            <w:tcBorders>
              <w:left w:val="nil"/>
              <w:bottom w:val="single" w:sz="4" w:space="0" w:color="auto"/>
              <w:right w:val="nil"/>
            </w:tcBorders>
            <w:vAlign w:val="center"/>
          </w:tcPr>
          <w:p w14:paraId="13C04FE5" w14:textId="77777777" w:rsidR="00F9287A" w:rsidRPr="000277E3" w:rsidRDefault="00F9287A" w:rsidP="00F9287A">
            <w:pPr>
              <w:jc w:val="center"/>
              <w:rPr>
                <w:rFonts w:ascii="Arial" w:eastAsia="Times New Roman" w:hAnsi="Arial" w:cs="Arial"/>
                <w:sz w:val="2"/>
                <w:szCs w:val="2"/>
                <w:lang w:val="fr-FR" w:bidi="fr-FR"/>
              </w:rPr>
            </w:pPr>
          </w:p>
        </w:tc>
        <w:tc>
          <w:tcPr>
            <w:tcW w:w="1134" w:type="dxa"/>
            <w:tcBorders>
              <w:left w:val="nil"/>
              <w:bottom w:val="single" w:sz="4" w:space="0" w:color="auto"/>
              <w:right w:val="nil"/>
            </w:tcBorders>
            <w:vAlign w:val="center"/>
          </w:tcPr>
          <w:p w14:paraId="53C5B186" w14:textId="77777777" w:rsidR="00F9287A" w:rsidRPr="000277E3" w:rsidRDefault="00F9287A" w:rsidP="00F9287A">
            <w:pPr>
              <w:jc w:val="right"/>
              <w:rPr>
                <w:rFonts w:ascii="Arial" w:eastAsia="Times New Roman" w:hAnsi="Arial" w:cs="Arial"/>
                <w:sz w:val="2"/>
                <w:szCs w:val="2"/>
                <w:lang w:bidi="fr-FR"/>
              </w:rPr>
            </w:pPr>
          </w:p>
        </w:tc>
        <w:tc>
          <w:tcPr>
            <w:tcW w:w="1134" w:type="dxa"/>
            <w:tcBorders>
              <w:left w:val="nil"/>
              <w:bottom w:val="single" w:sz="4" w:space="0" w:color="auto"/>
              <w:right w:val="nil"/>
            </w:tcBorders>
            <w:vAlign w:val="center"/>
          </w:tcPr>
          <w:p w14:paraId="62383765" w14:textId="77777777" w:rsidR="00F9287A" w:rsidRPr="000277E3" w:rsidRDefault="00F9287A" w:rsidP="00F9287A">
            <w:pPr>
              <w:jc w:val="right"/>
              <w:rPr>
                <w:rFonts w:ascii="Arial" w:eastAsia="Times New Roman" w:hAnsi="Arial" w:cs="Arial"/>
                <w:sz w:val="2"/>
                <w:szCs w:val="2"/>
                <w:highlight w:val="yellow"/>
                <w:lang w:bidi="fr-FR"/>
              </w:rPr>
            </w:pPr>
          </w:p>
        </w:tc>
        <w:tc>
          <w:tcPr>
            <w:tcW w:w="1134" w:type="dxa"/>
            <w:tcBorders>
              <w:left w:val="nil"/>
              <w:bottom w:val="single" w:sz="4" w:space="0" w:color="auto"/>
              <w:right w:val="nil"/>
            </w:tcBorders>
            <w:vAlign w:val="center"/>
          </w:tcPr>
          <w:p w14:paraId="21B2161A" w14:textId="77777777" w:rsidR="00F9287A" w:rsidRPr="000277E3" w:rsidRDefault="00F9287A" w:rsidP="00F9287A">
            <w:pPr>
              <w:jc w:val="right"/>
              <w:rPr>
                <w:rFonts w:ascii="Arial" w:eastAsia="Times New Roman" w:hAnsi="Arial" w:cs="Arial"/>
                <w:sz w:val="2"/>
                <w:szCs w:val="2"/>
                <w:highlight w:val="yellow"/>
                <w:lang w:bidi="fr-FR"/>
              </w:rPr>
            </w:pPr>
          </w:p>
        </w:tc>
      </w:tr>
      <w:tr w:rsidR="007E3DB2" w:rsidRPr="000277E3" w14:paraId="35E80C30" w14:textId="77777777" w:rsidTr="00E070B4">
        <w:trPr>
          <w:trHeight w:val="284"/>
        </w:trPr>
        <w:tc>
          <w:tcPr>
            <w:tcW w:w="2154" w:type="dxa"/>
            <w:tcBorders>
              <w:bottom w:val="nil"/>
            </w:tcBorders>
            <w:shd w:val="clear" w:color="auto" w:fill="auto"/>
            <w:vAlign w:val="center"/>
          </w:tcPr>
          <w:p w14:paraId="4500120C" w14:textId="77777777" w:rsidR="007E3DB2" w:rsidRPr="000277E3" w:rsidRDefault="007E3DB2" w:rsidP="007E3DB2">
            <w:pPr>
              <w:rPr>
                <w:rFonts w:ascii="Arial" w:hAnsi="Arial" w:cs="Arial"/>
                <w:b/>
                <w:sz w:val="18"/>
                <w:szCs w:val="18"/>
              </w:rPr>
            </w:pPr>
            <w:r>
              <w:rPr>
                <w:rFonts w:ascii="Arial" w:hAnsi="Arial"/>
                <w:b/>
                <w:sz w:val="18"/>
                <w:szCs w:val="18"/>
              </w:rPr>
              <w:t>Fatt. IFRS 2019</w:t>
            </w:r>
          </w:p>
        </w:tc>
        <w:tc>
          <w:tcPr>
            <w:tcW w:w="1134" w:type="dxa"/>
            <w:tcBorders>
              <w:bottom w:val="nil"/>
            </w:tcBorders>
            <w:vAlign w:val="center"/>
          </w:tcPr>
          <w:p w14:paraId="2EC123FD" w14:textId="77777777" w:rsidR="007E3DB2" w:rsidRPr="000277E3" w:rsidRDefault="007E3DB2" w:rsidP="007E3DB2">
            <w:pPr>
              <w:jc w:val="center"/>
              <w:rPr>
                <w:rFonts w:ascii="Arial" w:hAnsi="Arial" w:cs="Arial"/>
                <w:b/>
                <w:bCs/>
                <w:color w:val="000000"/>
                <w:sz w:val="14"/>
                <w:szCs w:val="14"/>
              </w:rPr>
            </w:pPr>
            <w:r>
              <w:rPr>
                <w:rFonts w:ascii="Arial" w:hAnsi="Arial"/>
                <w:b/>
                <w:bCs/>
                <w:color w:val="000000"/>
                <w:sz w:val="14"/>
                <w:szCs w:val="14"/>
              </w:rPr>
              <w:t>(b)</w:t>
            </w:r>
          </w:p>
        </w:tc>
        <w:tc>
          <w:tcPr>
            <w:tcW w:w="1134" w:type="dxa"/>
            <w:tcBorders>
              <w:bottom w:val="nil"/>
            </w:tcBorders>
            <w:vAlign w:val="center"/>
          </w:tcPr>
          <w:p w14:paraId="428E5B48" w14:textId="77777777" w:rsidR="007E3DB2" w:rsidRPr="000277E3" w:rsidRDefault="007E3DB2" w:rsidP="007E3DB2">
            <w:pPr>
              <w:jc w:val="right"/>
              <w:rPr>
                <w:rFonts w:ascii="Arial" w:hAnsi="Arial" w:cs="Arial"/>
                <w:b/>
                <w:bCs/>
                <w:color w:val="000000"/>
                <w:sz w:val="18"/>
              </w:rPr>
            </w:pPr>
            <w:r>
              <w:rPr>
                <w:rFonts w:ascii="Arial" w:hAnsi="Arial"/>
                <w:b/>
                <w:bCs/>
                <w:color w:val="000000"/>
                <w:sz w:val="18"/>
              </w:rPr>
              <w:t>753,2</w:t>
            </w:r>
          </w:p>
        </w:tc>
        <w:tc>
          <w:tcPr>
            <w:tcW w:w="1134" w:type="dxa"/>
            <w:tcBorders>
              <w:bottom w:val="nil"/>
            </w:tcBorders>
            <w:vAlign w:val="center"/>
          </w:tcPr>
          <w:p w14:paraId="6A509FBD" w14:textId="77777777" w:rsidR="007E3DB2" w:rsidRPr="000277E3" w:rsidRDefault="007E3DB2" w:rsidP="007E3DB2">
            <w:pPr>
              <w:jc w:val="right"/>
              <w:rPr>
                <w:rFonts w:ascii="Arial" w:hAnsi="Arial" w:cs="Arial"/>
                <w:b/>
                <w:bCs/>
                <w:color w:val="000000"/>
                <w:sz w:val="18"/>
              </w:rPr>
            </w:pPr>
            <w:r>
              <w:rPr>
                <w:rFonts w:ascii="Arial" w:hAnsi="Arial"/>
                <w:b/>
                <w:bCs/>
                <w:color w:val="000000"/>
                <w:sz w:val="18"/>
              </w:rPr>
              <w:t>898,2</w:t>
            </w:r>
          </w:p>
        </w:tc>
        <w:tc>
          <w:tcPr>
            <w:tcW w:w="1134" w:type="dxa"/>
            <w:tcBorders>
              <w:bottom w:val="nil"/>
              <w:right w:val="single" w:sz="4" w:space="0" w:color="auto"/>
            </w:tcBorders>
            <w:vAlign w:val="center"/>
          </w:tcPr>
          <w:p w14:paraId="320CF38C" w14:textId="77777777" w:rsidR="007E3DB2" w:rsidRPr="000277E3" w:rsidRDefault="007E3DB2" w:rsidP="007E3DB2">
            <w:pPr>
              <w:jc w:val="right"/>
              <w:rPr>
                <w:rFonts w:ascii="Arial" w:hAnsi="Arial" w:cs="Arial"/>
                <w:b/>
                <w:bCs/>
                <w:color w:val="000000"/>
                <w:sz w:val="18"/>
              </w:rPr>
            </w:pPr>
            <w:r>
              <w:rPr>
                <w:rFonts w:ascii="Arial" w:hAnsi="Arial"/>
                <w:b/>
                <w:bCs/>
                <w:color w:val="000000"/>
                <w:sz w:val="18"/>
              </w:rPr>
              <w:t>1.651,4</w:t>
            </w:r>
          </w:p>
        </w:tc>
      </w:tr>
      <w:tr w:rsidR="007E3DB2" w:rsidRPr="000277E3" w14:paraId="0836CCC2" w14:textId="77777777" w:rsidTr="00E070B4">
        <w:trPr>
          <w:trHeight w:val="284"/>
        </w:trPr>
        <w:tc>
          <w:tcPr>
            <w:tcW w:w="2154" w:type="dxa"/>
            <w:tcBorders>
              <w:top w:val="nil"/>
              <w:bottom w:val="nil"/>
            </w:tcBorders>
            <w:shd w:val="clear" w:color="auto" w:fill="auto"/>
            <w:vAlign w:val="center"/>
          </w:tcPr>
          <w:p w14:paraId="22286E79" w14:textId="77777777" w:rsidR="007E3DB2" w:rsidRPr="000277E3" w:rsidRDefault="007E3DB2" w:rsidP="007E3DB2">
            <w:pPr>
              <w:ind w:left="218"/>
              <w:rPr>
                <w:rFonts w:ascii="Arial" w:hAnsi="Arial" w:cs="Arial"/>
                <w:sz w:val="18"/>
                <w:szCs w:val="18"/>
              </w:rPr>
            </w:pPr>
            <w:r>
              <w:rPr>
                <w:rFonts w:ascii="Arial" w:hAnsi="Arial"/>
                <w:sz w:val="18"/>
                <w:szCs w:val="18"/>
              </w:rPr>
              <w:t>Effetti IFRS 11</w:t>
            </w:r>
          </w:p>
        </w:tc>
        <w:tc>
          <w:tcPr>
            <w:tcW w:w="1134" w:type="dxa"/>
            <w:tcBorders>
              <w:top w:val="nil"/>
              <w:bottom w:val="nil"/>
            </w:tcBorders>
            <w:vAlign w:val="center"/>
          </w:tcPr>
          <w:p w14:paraId="0422D40E" w14:textId="77777777" w:rsidR="007E3DB2" w:rsidRPr="000277E3" w:rsidRDefault="007E3DB2" w:rsidP="007E3DB2">
            <w:pPr>
              <w:jc w:val="center"/>
              <w:rPr>
                <w:rFonts w:ascii="Arial" w:hAnsi="Arial" w:cs="Arial"/>
                <w:color w:val="000000"/>
                <w:sz w:val="14"/>
                <w:szCs w:val="14"/>
              </w:rPr>
            </w:pPr>
            <w:r>
              <w:rPr>
                <w:rFonts w:ascii="Arial" w:hAnsi="Arial"/>
                <w:color w:val="000000"/>
                <w:sz w:val="14"/>
                <w:szCs w:val="14"/>
              </w:rPr>
              <w:t>(c)</w:t>
            </w:r>
          </w:p>
        </w:tc>
        <w:tc>
          <w:tcPr>
            <w:tcW w:w="1134" w:type="dxa"/>
            <w:tcBorders>
              <w:top w:val="nil"/>
              <w:bottom w:val="nil"/>
            </w:tcBorders>
            <w:vAlign w:val="center"/>
          </w:tcPr>
          <w:p w14:paraId="472DC420" w14:textId="77777777" w:rsidR="007E3DB2" w:rsidRPr="000277E3" w:rsidRDefault="007E3DB2" w:rsidP="007E3DB2">
            <w:pPr>
              <w:jc w:val="right"/>
              <w:rPr>
                <w:rFonts w:ascii="Arial" w:hAnsi="Arial" w:cs="Arial"/>
                <w:color w:val="000000"/>
                <w:sz w:val="18"/>
              </w:rPr>
            </w:pPr>
            <w:r>
              <w:rPr>
                <w:rFonts w:ascii="Arial" w:hAnsi="Arial"/>
                <w:color w:val="000000"/>
                <w:sz w:val="18"/>
              </w:rPr>
              <w:t>86,8</w:t>
            </w:r>
          </w:p>
        </w:tc>
        <w:tc>
          <w:tcPr>
            <w:tcW w:w="1134" w:type="dxa"/>
            <w:tcBorders>
              <w:top w:val="nil"/>
              <w:bottom w:val="nil"/>
            </w:tcBorders>
            <w:vAlign w:val="center"/>
          </w:tcPr>
          <w:p w14:paraId="41C9CB74" w14:textId="77777777" w:rsidR="007E3DB2" w:rsidRPr="000277E3" w:rsidRDefault="007E3DB2" w:rsidP="007E3DB2">
            <w:pPr>
              <w:jc w:val="right"/>
              <w:rPr>
                <w:rFonts w:ascii="Arial" w:hAnsi="Arial" w:cs="Arial"/>
                <w:color w:val="000000"/>
                <w:sz w:val="18"/>
              </w:rPr>
            </w:pPr>
            <w:r>
              <w:rPr>
                <w:rFonts w:ascii="Arial" w:hAnsi="Arial"/>
                <w:color w:val="000000"/>
                <w:sz w:val="18"/>
              </w:rPr>
              <w:t>104,1</w:t>
            </w:r>
          </w:p>
        </w:tc>
        <w:tc>
          <w:tcPr>
            <w:tcW w:w="1134" w:type="dxa"/>
            <w:tcBorders>
              <w:top w:val="nil"/>
              <w:bottom w:val="nil"/>
              <w:right w:val="single" w:sz="4" w:space="0" w:color="auto"/>
            </w:tcBorders>
            <w:vAlign w:val="center"/>
          </w:tcPr>
          <w:p w14:paraId="758EF415" w14:textId="77777777" w:rsidR="007E3DB2" w:rsidRPr="000277E3" w:rsidRDefault="007E3DB2" w:rsidP="007E3DB2">
            <w:pPr>
              <w:jc w:val="right"/>
              <w:rPr>
                <w:rFonts w:ascii="Arial" w:hAnsi="Arial" w:cs="Arial"/>
                <w:color w:val="000000"/>
                <w:sz w:val="18"/>
              </w:rPr>
            </w:pPr>
            <w:r>
              <w:rPr>
                <w:rFonts w:ascii="Arial" w:hAnsi="Arial"/>
                <w:color w:val="000000"/>
                <w:sz w:val="18"/>
              </w:rPr>
              <w:t>190,9</w:t>
            </w:r>
          </w:p>
        </w:tc>
      </w:tr>
      <w:tr w:rsidR="007E3DB2" w:rsidRPr="000277E3" w14:paraId="65C8A561" w14:textId="77777777" w:rsidTr="00E070B4">
        <w:trPr>
          <w:trHeight w:val="284"/>
        </w:trPr>
        <w:tc>
          <w:tcPr>
            <w:tcW w:w="2154" w:type="dxa"/>
            <w:tcBorders>
              <w:top w:val="nil"/>
              <w:bottom w:val="nil"/>
            </w:tcBorders>
            <w:shd w:val="clear" w:color="auto" w:fill="auto"/>
            <w:vAlign w:val="center"/>
          </w:tcPr>
          <w:p w14:paraId="3959DD28" w14:textId="77777777" w:rsidR="007E3DB2" w:rsidRPr="000277E3" w:rsidRDefault="007E3DB2" w:rsidP="007E3DB2">
            <w:pPr>
              <w:rPr>
                <w:rFonts w:ascii="Arial" w:hAnsi="Arial" w:cs="Arial"/>
                <w:b/>
                <w:sz w:val="18"/>
                <w:szCs w:val="18"/>
              </w:rPr>
            </w:pPr>
            <w:r>
              <w:rPr>
                <w:rFonts w:ascii="Arial" w:hAnsi="Arial"/>
                <w:b/>
                <w:sz w:val="18"/>
                <w:szCs w:val="18"/>
              </w:rPr>
              <w:t>Fatt ridim. 2019</w:t>
            </w:r>
          </w:p>
        </w:tc>
        <w:tc>
          <w:tcPr>
            <w:tcW w:w="1134" w:type="dxa"/>
            <w:tcBorders>
              <w:top w:val="nil"/>
              <w:bottom w:val="nil"/>
            </w:tcBorders>
            <w:vAlign w:val="center"/>
          </w:tcPr>
          <w:p w14:paraId="47862797" w14:textId="77777777" w:rsidR="007E3DB2" w:rsidRPr="000277E3" w:rsidRDefault="007E3DB2" w:rsidP="007E3DB2">
            <w:pPr>
              <w:jc w:val="center"/>
              <w:rPr>
                <w:rFonts w:ascii="Arial" w:hAnsi="Arial" w:cs="Arial"/>
                <w:b/>
                <w:bCs/>
                <w:color w:val="000000"/>
                <w:sz w:val="14"/>
                <w:szCs w:val="14"/>
              </w:rPr>
            </w:pPr>
            <w:r>
              <w:rPr>
                <w:rFonts w:ascii="Arial" w:hAnsi="Arial"/>
                <w:b/>
                <w:bCs/>
                <w:color w:val="000000"/>
                <w:sz w:val="14"/>
                <w:szCs w:val="14"/>
              </w:rPr>
              <w:t>(d) = (b) + (c)</w:t>
            </w:r>
          </w:p>
        </w:tc>
        <w:tc>
          <w:tcPr>
            <w:tcW w:w="1134" w:type="dxa"/>
            <w:tcBorders>
              <w:top w:val="nil"/>
              <w:bottom w:val="nil"/>
            </w:tcBorders>
            <w:vAlign w:val="center"/>
          </w:tcPr>
          <w:p w14:paraId="00A9A074" w14:textId="77777777" w:rsidR="007E3DB2" w:rsidRPr="000277E3" w:rsidRDefault="007E3DB2" w:rsidP="007E3DB2">
            <w:pPr>
              <w:jc w:val="right"/>
              <w:rPr>
                <w:rFonts w:ascii="Arial" w:hAnsi="Arial" w:cs="Arial"/>
                <w:b/>
                <w:bCs/>
                <w:color w:val="000000"/>
                <w:sz w:val="18"/>
              </w:rPr>
            </w:pPr>
            <w:r>
              <w:rPr>
                <w:rFonts w:ascii="Arial" w:hAnsi="Arial"/>
                <w:b/>
                <w:bCs/>
                <w:color w:val="000000"/>
                <w:sz w:val="18"/>
              </w:rPr>
              <w:t>840,0</w:t>
            </w:r>
          </w:p>
        </w:tc>
        <w:tc>
          <w:tcPr>
            <w:tcW w:w="1134" w:type="dxa"/>
            <w:tcBorders>
              <w:top w:val="nil"/>
              <w:bottom w:val="nil"/>
            </w:tcBorders>
            <w:vAlign w:val="center"/>
          </w:tcPr>
          <w:p w14:paraId="067D3864" w14:textId="77777777" w:rsidR="007E3DB2" w:rsidRPr="000277E3" w:rsidRDefault="007E3DB2" w:rsidP="007E3DB2">
            <w:pPr>
              <w:jc w:val="right"/>
              <w:rPr>
                <w:rFonts w:ascii="Arial" w:hAnsi="Arial" w:cs="Arial"/>
                <w:b/>
                <w:bCs/>
                <w:color w:val="000000"/>
                <w:sz w:val="18"/>
              </w:rPr>
            </w:pPr>
            <w:r>
              <w:rPr>
                <w:rFonts w:ascii="Arial" w:hAnsi="Arial"/>
                <w:b/>
                <w:bCs/>
                <w:color w:val="000000"/>
                <w:sz w:val="18"/>
              </w:rPr>
              <w:t>1.002,3</w:t>
            </w:r>
          </w:p>
        </w:tc>
        <w:tc>
          <w:tcPr>
            <w:tcW w:w="1134" w:type="dxa"/>
            <w:tcBorders>
              <w:top w:val="nil"/>
              <w:bottom w:val="nil"/>
              <w:right w:val="single" w:sz="4" w:space="0" w:color="auto"/>
            </w:tcBorders>
            <w:vAlign w:val="center"/>
          </w:tcPr>
          <w:p w14:paraId="0CE91B4A" w14:textId="77777777" w:rsidR="007E3DB2" w:rsidRPr="000277E3" w:rsidRDefault="007E3DB2" w:rsidP="007E3DB2">
            <w:pPr>
              <w:jc w:val="right"/>
              <w:rPr>
                <w:rFonts w:ascii="Arial" w:hAnsi="Arial" w:cs="Arial"/>
                <w:b/>
                <w:bCs/>
                <w:color w:val="000000"/>
                <w:sz w:val="18"/>
              </w:rPr>
            </w:pPr>
            <w:r>
              <w:rPr>
                <w:rFonts w:ascii="Arial" w:hAnsi="Arial"/>
                <w:b/>
                <w:bCs/>
                <w:color w:val="000000"/>
                <w:sz w:val="18"/>
              </w:rPr>
              <w:t>1.842,3</w:t>
            </w:r>
          </w:p>
        </w:tc>
      </w:tr>
      <w:tr w:rsidR="007E3DB2" w:rsidRPr="000277E3" w14:paraId="2ED08909" w14:textId="77777777" w:rsidTr="00E070B4">
        <w:trPr>
          <w:trHeight w:val="284"/>
        </w:trPr>
        <w:tc>
          <w:tcPr>
            <w:tcW w:w="2154" w:type="dxa"/>
            <w:tcBorders>
              <w:top w:val="nil"/>
              <w:bottom w:val="nil"/>
            </w:tcBorders>
            <w:shd w:val="clear" w:color="auto" w:fill="auto"/>
            <w:vAlign w:val="center"/>
          </w:tcPr>
          <w:p w14:paraId="5D7D5D59" w14:textId="77777777" w:rsidR="007E3DB2" w:rsidRPr="000277E3" w:rsidRDefault="007E3DB2" w:rsidP="007E3DB2">
            <w:pPr>
              <w:ind w:left="218"/>
              <w:rPr>
                <w:rFonts w:ascii="Arial" w:hAnsi="Arial" w:cs="Arial"/>
                <w:sz w:val="18"/>
                <w:szCs w:val="18"/>
              </w:rPr>
            </w:pPr>
            <w:r>
              <w:rPr>
                <w:rFonts w:ascii="Arial" w:hAnsi="Arial"/>
                <w:sz w:val="18"/>
                <w:szCs w:val="18"/>
              </w:rPr>
              <w:t>Effetti di cambio</w:t>
            </w:r>
          </w:p>
        </w:tc>
        <w:tc>
          <w:tcPr>
            <w:tcW w:w="1134" w:type="dxa"/>
            <w:tcBorders>
              <w:top w:val="nil"/>
              <w:bottom w:val="nil"/>
            </w:tcBorders>
            <w:vAlign w:val="center"/>
          </w:tcPr>
          <w:p w14:paraId="2D730CF4" w14:textId="77777777" w:rsidR="007E3DB2" w:rsidRPr="000277E3" w:rsidRDefault="007E3DB2" w:rsidP="007E3DB2">
            <w:pPr>
              <w:jc w:val="center"/>
              <w:rPr>
                <w:rFonts w:ascii="Arial" w:hAnsi="Arial" w:cs="Arial"/>
                <w:color w:val="000000"/>
                <w:sz w:val="14"/>
                <w:szCs w:val="14"/>
              </w:rPr>
            </w:pPr>
            <w:r>
              <w:rPr>
                <w:rFonts w:ascii="Arial" w:hAnsi="Arial"/>
                <w:color w:val="000000"/>
                <w:sz w:val="14"/>
                <w:szCs w:val="14"/>
              </w:rPr>
              <w:t>(e)</w:t>
            </w:r>
          </w:p>
        </w:tc>
        <w:tc>
          <w:tcPr>
            <w:tcW w:w="1134" w:type="dxa"/>
            <w:tcBorders>
              <w:top w:val="nil"/>
              <w:bottom w:val="nil"/>
            </w:tcBorders>
            <w:vAlign w:val="center"/>
          </w:tcPr>
          <w:p w14:paraId="31C4BC84" w14:textId="77777777" w:rsidR="007E3DB2" w:rsidRPr="000277E3" w:rsidRDefault="007E3DB2" w:rsidP="007E3DB2">
            <w:pPr>
              <w:jc w:val="right"/>
              <w:rPr>
                <w:rFonts w:ascii="Arial" w:hAnsi="Arial" w:cs="Arial"/>
                <w:color w:val="000000"/>
                <w:sz w:val="18"/>
              </w:rPr>
            </w:pPr>
            <w:r>
              <w:rPr>
                <w:rFonts w:ascii="Arial" w:hAnsi="Arial"/>
                <w:color w:val="000000"/>
                <w:sz w:val="18"/>
              </w:rPr>
              <w:t>(13,1)</w:t>
            </w:r>
          </w:p>
        </w:tc>
        <w:tc>
          <w:tcPr>
            <w:tcW w:w="1134" w:type="dxa"/>
            <w:tcBorders>
              <w:top w:val="nil"/>
              <w:bottom w:val="nil"/>
            </w:tcBorders>
            <w:vAlign w:val="center"/>
          </w:tcPr>
          <w:p w14:paraId="6380DF8E" w14:textId="77777777" w:rsidR="007E3DB2" w:rsidRPr="000277E3" w:rsidRDefault="007E3DB2" w:rsidP="007E3DB2">
            <w:pPr>
              <w:jc w:val="right"/>
              <w:rPr>
                <w:rFonts w:ascii="Arial" w:hAnsi="Arial" w:cs="Arial"/>
                <w:color w:val="000000"/>
                <w:sz w:val="18"/>
              </w:rPr>
            </w:pPr>
            <w:r>
              <w:rPr>
                <w:rFonts w:ascii="Arial" w:hAnsi="Arial"/>
                <w:color w:val="000000"/>
                <w:sz w:val="18"/>
              </w:rPr>
              <w:t>(9,4)</w:t>
            </w:r>
          </w:p>
        </w:tc>
        <w:tc>
          <w:tcPr>
            <w:tcW w:w="1134" w:type="dxa"/>
            <w:tcBorders>
              <w:top w:val="nil"/>
              <w:bottom w:val="nil"/>
              <w:right w:val="single" w:sz="4" w:space="0" w:color="auto"/>
            </w:tcBorders>
            <w:vAlign w:val="center"/>
          </w:tcPr>
          <w:p w14:paraId="620D2EFD" w14:textId="77777777" w:rsidR="007E3DB2" w:rsidRPr="000277E3" w:rsidRDefault="007E3DB2" w:rsidP="007E3DB2">
            <w:pPr>
              <w:jc w:val="right"/>
              <w:rPr>
                <w:rFonts w:ascii="Arial" w:hAnsi="Arial" w:cs="Arial"/>
                <w:color w:val="000000"/>
                <w:sz w:val="18"/>
              </w:rPr>
            </w:pPr>
            <w:r>
              <w:rPr>
                <w:rFonts w:ascii="Arial" w:hAnsi="Arial"/>
                <w:color w:val="000000"/>
                <w:sz w:val="18"/>
              </w:rPr>
              <w:t>(22,5)</w:t>
            </w:r>
          </w:p>
        </w:tc>
      </w:tr>
      <w:tr w:rsidR="007E3DB2" w:rsidRPr="000277E3" w14:paraId="76640B80" w14:textId="77777777" w:rsidTr="00E070B4">
        <w:trPr>
          <w:trHeight w:val="284"/>
        </w:trPr>
        <w:tc>
          <w:tcPr>
            <w:tcW w:w="2154" w:type="dxa"/>
            <w:tcBorders>
              <w:top w:val="nil"/>
              <w:bottom w:val="nil"/>
            </w:tcBorders>
            <w:shd w:val="clear" w:color="auto" w:fill="auto"/>
            <w:vAlign w:val="center"/>
          </w:tcPr>
          <w:p w14:paraId="1125F20B" w14:textId="77777777" w:rsidR="007E3DB2" w:rsidRPr="000277E3" w:rsidRDefault="007E3DB2" w:rsidP="007E3DB2">
            <w:pPr>
              <w:rPr>
                <w:rFonts w:ascii="Arial" w:hAnsi="Arial" w:cs="Arial"/>
                <w:b/>
                <w:sz w:val="18"/>
                <w:szCs w:val="18"/>
              </w:rPr>
            </w:pPr>
            <w:r>
              <w:rPr>
                <w:rFonts w:ascii="Arial" w:hAnsi="Arial"/>
                <w:b/>
                <w:sz w:val="18"/>
                <w:szCs w:val="18"/>
              </w:rPr>
              <w:t>Fatt. ridim 2019 ai tassi di cambio 2018</w:t>
            </w:r>
          </w:p>
        </w:tc>
        <w:tc>
          <w:tcPr>
            <w:tcW w:w="1134" w:type="dxa"/>
            <w:tcBorders>
              <w:top w:val="nil"/>
              <w:bottom w:val="nil"/>
            </w:tcBorders>
            <w:vAlign w:val="center"/>
          </w:tcPr>
          <w:p w14:paraId="77C34651" w14:textId="77777777" w:rsidR="007E3DB2" w:rsidRPr="000277E3" w:rsidRDefault="007E3DB2" w:rsidP="007E3DB2">
            <w:pPr>
              <w:jc w:val="center"/>
              <w:rPr>
                <w:rFonts w:ascii="Arial" w:hAnsi="Arial" w:cs="Arial"/>
                <w:b/>
                <w:bCs/>
                <w:color w:val="000000"/>
                <w:sz w:val="14"/>
                <w:szCs w:val="14"/>
              </w:rPr>
            </w:pPr>
            <w:r>
              <w:rPr>
                <w:rFonts w:ascii="Arial" w:hAnsi="Arial"/>
                <w:b/>
                <w:bCs/>
                <w:color w:val="000000"/>
                <w:sz w:val="14"/>
                <w:szCs w:val="14"/>
              </w:rPr>
              <w:t>(f) = (d) + (e)</w:t>
            </w:r>
          </w:p>
        </w:tc>
        <w:tc>
          <w:tcPr>
            <w:tcW w:w="1134" w:type="dxa"/>
            <w:tcBorders>
              <w:top w:val="nil"/>
              <w:bottom w:val="nil"/>
            </w:tcBorders>
            <w:vAlign w:val="center"/>
          </w:tcPr>
          <w:p w14:paraId="196D85B8" w14:textId="77777777" w:rsidR="007E3DB2" w:rsidRPr="000277E3" w:rsidRDefault="007E3DB2" w:rsidP="007E3DB2">
            <w:pPr>
              <w:jc w:val="right"/>
              <w:rPr>
                <w:rFonts w:ascii="Arial" w:hAnsi="Arial" w:cs="Arial"/>
                <w:b/>
                <w:bCs/>
                <w:color w:val="000000"/>
                <w:sz w:val="18"/>
              </w:rPr>
            </w:pPr>
            <w:r>
              <w:rPr>
                <w:rFonts w:ascii="Arial" w:hAnsi="Arial"/>
                <w:b/>
                <w:bCs/>
                <w:color w:val="000000"/>
                <w:sz w:val="18"/>
              </w:rPr>
              <w:t>826,9</w:t>
            </w:r>
          </w:p>
        </w:tc>
        <w:tc>
          <w:tcPr>
            <w:tcW w:w="1134" w:type="dxa"/>
            <w:tcBorders>
              <w:top w:val="nil"/>
              <w:bottom w:val="nil"/>
            </w:tcBorders>
            <w:vAlign w:val="center"/>
          </w:tcPr>
          <w:p w14:paraId="19AF93BA" w14:textId="77777777" w:rsidR="007E3DB2" w:rsidRPr="000277E3" w:rsidRDefault="007E3DB2" w:rsidP="007E3DB2">
            <w:pPr>
              <w:jc w:val="right"/>
              <w:rPr>
                <w:rFonts w:ascii="Arial" w:hAnsi="Arial" w:cs="Arial"/>
                <w:b/>
                <w:bCs/>
                <w:color w:val="000000"/>
                <w:sz w:val="18"/>
              </w:rPr>
            </w:pPr>
            <w:r>
              <w:rPr>
                <w:rFonts w:ascii="Arial" w:hAnsi="Arial"/>
                <w:b/>
                <w:bCs/>
                <w:color w:val="000000"/>
                <w:sz w:val="18"/>
              </w:rPr>
              <w:t>992,9</w:t>
            </w:r>
          </w:p>
        </w:tc>
        <w:tc>
          <w:tcPr>
            <w:tcW w:w="1134" w:type="dxa"/>
            <w:tcBorders>
              <w:top w:val="nil"/>
              <w:bottom w:val="nil"/>
              <w:right w:val="single" w:sz="4" w:space="0" w:color="auto"/>
            </w:tcBorders>
            <w:vAlign w:val="center"/>
          </w:tcPr>
          <w:p w14:paraId="7FC2FCAA" w14:textId="77777777" w:rsidR="007E3DB2" w:rsidRPr="000277E3" w:rsidRDefault="007E3DB2" w:rsidP="007E3DB2">
            <w:pPr>
              <w:jc w:val="right"/>
              <w:rPr>
                <w:rFonts w:ascii="Arial" w:hAnsi="Arial" w:cs="Arial"/>
                <w:b/>
                <w:bCs/>
                <w:color w:val="000000"/>
                <w:sz w:val="18"/>
              </w:rPr>
            </w:pPr>
            <w:r>
              <w:rPr>
                <w:rFonts w:ascii="Arial" w:hAnsi="Arial"/>
                <w:b/>
                <w:bCs/>
                <w:color w:val="000000"/>
                <w:sz w:val="18"/>
              </w:rPr>
              <w:t>1.819,8</w:t>
            </w:r>
          </w:p>
        </w:tc>
      </w:tr>
      <w:tr w:rsidR="007E3DB2" w:rsidRPr="000277E3" w14:paraId="0790732E" w14:textId="77777777" w:rsidTr="00E070B4">
        <w:trPr>
          <w:trHeight w:val="284"/>
        </w:trPr>
        <w:tc>
          <w:tcPr>
            <w:tcW w:w="2154" w:type="dxa"/>
            <w:tcBorders>
              <w:top w:val="nil"/>
              <w:bottom w:val="nil"/>
            </w:tcBorders>
            <w:shd w:val="clear" w:color="auto" w:fill="auto"/>
            <w:vAlign w:val="center"/>
          </w:tcPr>
          <w:p w14:paraId="771A368A" w14:textId="77777777" w:rsidR="007E3DB2" w:rsidRPr="000277E3" w:rsidRDefault="007E3DB2" w:rsidP="007E3DB2">
            <w:pPr>
              <w:ind w:left="218"/>
              <w:rPr>
                <w:rFonts w:ascii="Arial" w:hAnsi="Arial" w:cs="Arial"/>
                <w:sz w:val="18"/>
                <w:szCs w:val="18"/>
              </w:rPr>
            </w:pPr>
            <w:r>
              <w:rPr>
                <w:rFonts w:ascii="Arial" w:hAnsi="Arial"/>
                <w:sz w:val="18"/>
                <w:szCs w:val="18"/>
              </w:rPr>
              <w:t>Variazione di perimetro</w:t>
            </w:r>
          </w:p>
        </w:tc>
        <w:tc>
          <w:tcPr>
            <w:tcW w:w="1134" w:type="dxa"/>
            <w:tcBorders>
              <w:top w:val="nil"/>
              <w:bottom w:val="nil"/>
            </w:tcBorders>
            <w:vAlign w:val="center"/>
          </w:tcPr>
          <w:p w14:paraId="43AB54E1" w14:textId="77777777" w:rsidR="007E3DB2" w:rsidRPr="000277E3" w:rsidRDefault="007E3DB2" w:rsidP="007E3DB2">
            <w:pPr>
              <w:jc w:val="center"/>
              <w:rPr>
                <w:rFonts w:ascii="Arial" w:hAnsi="Arial" w:cs="Arial"/>
                <w:color w:val="000000"/>
                <w:sz w:val="14"/>
                <w:szCs w:val="14"/>
              </w:rPr>
            </w:pPr>
            <w:r>
              <w:rPr>
                <w:rFonts w:ascii="Arial" w:hAnsi="Arial"/>
                <w:color w:val="000000"/>
                <w:sz w:val="14"/>
                <w:szCs w:val="14"/>
              </w:rPr>
              <w:t>g)</w:t>
            </w:r>
          </w:p>
        </w:tc>
        <w:tc>
          <w:tcPr>
            <w:tcW w:w="1134" w:type="dxa"/>
            <w:tcBorders>
              <w:top w:val="nil"/>
              <w:bottom w:val="nil"/>
            </w:tcBorders>
            <w:vAlign w:val="center"/>
          </w:tcPr>
          <w:p w14:paraId="1EE40240" w14:textId="77777777" w:rsidR="007E3DB2" w:rsidRPr="000277E3" w:rsidRDefault="007E3DB2" w:rsidP="007E3DB2">
            <w:pPr>
              <w:jc w:val="right"/>
              <w:rPr>
                <w:rFonts w:ascii="Arial" w:hAnsi="Arial" w:cs="Arial"/>
                <w:color w:val="000000"/>
                <w:sz w:val="18"/>
              </w:rPr>
            </w:pPr>
            <w:r>
              <w:rPr>
                <w:rFonts w:ascii="Arial" w:hAnsi="Arial"/>
                <w:color w:val="000000"/>
                <w:sz w:val="18"/>
              </w:rPr>
              <w:t>(44,4)</w:t>
            </w:r>
          </w:p>
        </w:tc>
        <w:tc>
          <w:tcPr>
            <w:tcW w:w="1134" w:type="dxa"/>
            <w:tcBorders>
              <w:top w:val="nil"/>
              <w:bottom w:val="nil"/>
            </w:tcBorders>
            <w:vAlign w:val="center"/>
          </w:tcPr>
          <w:p w14:paraId="2C3701CE" w14:textId="77777777" w:rsidR="007E3DB2" w:rsidRPr="000277E3" w:rsidRDefault="007E3DB2" w:rsidP="007E3DB2">
            <w:pPr>
              <w:jc w:val="right"/>
              <w:rPr>
                <w:rFonts w:ascii="Arial" w:hAnsi="Arial" w:cs="Arial"/>
                <w:color w:val="000000"/>
                <w:sz w:val="18"/>
              </w:rPr>
            </w:pPr>
            <w:r>
              <w:rPr>
                <w:rFonts w:ascii="Arial" w:hAnsi="Arial"/>
                <w:color w:val="000000"/>
                <w:sz w:val="18"/>
              </w:rPr>
              <w:t>(46,3)</w:t>
            </w:r>
          </w:p>
        </w:tc>
        <w:tc>
          <w:tcPr>
            <w:tcW w:w="1134" w:type="dxa"/>
            <w:tcBorders>
              <w:top w:val="nil"/>
              <w:bottom w:val="nil"/>
              <w:right w:val="single" w:sz="4" w:space="0" w:color="auto"/>
            </w:tcBorders>
            <w:vAlign w:val="center"/>
          </w:tcPr>
          <w:p w14:paraId="554D0A49" w14:textId="77777777" w:rsidR="007E3DB2" w:rsidRPr="000277E3" w:rsidRDefault="007E3DB2" w:rsidP="007E3DB2">
            <w:pPr>
              <w:jc w:val="right"/>
              <w:rPr>
                <w:rFonts w:ascii="Arial" w:hAnsi="Arial" w:cs="Arial"/>
                <w:color w:val="000000"/>
                <w:sz w:val="18"/>
              </w:rPr>
            </w:pPr>
            <w:r>
              <w:rPr>
                <w:rFonts w:ascii="Arial" w:hAnsi="Arial"/>
                <w:color w:val="000000"/>
                <w:sz w:val="18"/>
              </w:rPr>
              <w:t>(90,7)</w:t>
            </w:r>
          </w:p>
        </w:tc>
      </w:tr>
      <w:tr w:rsidR="007E3DB2" w:rsidRPr="000277E3" w14:paraId="1D24AB4A" w14:textId="77777777" w:rsidTr="00E070B4">
        <w:trPr>
          <w:trHeight w:val="284"/>
        </w:trPr>
        <w:tc>
          <w:tcPr>
            <w:tcW w:w="2154" w:type="dxa"/>
            <w:tcBorders>
              <w:top w:val="nil"/>
              <w:bottom w:val="single" w:sz="4" w:space="0" w:color="auto"/>
            </w:tcBorders>
            <w:shd w:val="clear" w:color="auto" w:fill="auto"/>
            <w:vAlign w:val="center"/>
          </w:tcPr>
          <w:p w14:paraId="4B9F6B53" w14:textId="77777777" w:rsidR="007E3DB2" w:rsidRPr="000277E3" w:rsidRDefault="007E3DB2" w:rsidP="007E3DB2">
            <w:pPr>
              <w:rPr>
                <w:rFonts w:ascii="Arial" w:hAnsi="Arial" w:cs="Arial"/>
                <w:b/>
                <w:sz w:val="18"/>
                <w:szCs w:val="18"/>
              </w:rPr>
            </w:pPr>
            <w:r>
              <w:rPr>
                <w:rFonts w:ascii="Arial" w:hAnsi="Arial"/>
                <w:b/>
                <w:sz w:val="18"/>
                <w:szCs w:val="18"/>
              </w:rPr>
              <w:t>Fatt. organico ridim. 2019</w:t>
            </w:r>
          </w:p>
        </w:tc>
        <w:tc>
          <w:tcPr>
            <w:tcW w:w="1134" w:type="dxa"/>
            <w:tcBorders>
              <w:top w:val="nil"/>
              <w:bottom w:val="single" w:sz="4" w:space="0" w:color="auto"/>
            </w:tcBorders>
            <w:vAlign w:val="center"/>
          </w:tcPr>
          <w:p w14:paraId="3DE53129" w14:textId="77777777" w:rsidR="007E3DB2" w:rsidRPr="000277E3" w:rsidRDefault="007E3DB2" w:rsidP="007E3DB2">
            <w:pPr>
              <w:jc w:val="center"/>
              <w:rPr>
                <w:rFonts w:ascii="Arial" w:hAnsi="Arial" w:cs="Arial"/>
                <w:b/>
                <w:bCs/>
                <w:color w:val="000000"/>
                <w:sz w:val="14"/>
                <w:szCs w:val="14"/>
              </w:rPr>
            </w:pPr>
            <w:r>
              <w:rPr>
                <w:rFonts w:ascii="Arial" w:hAnsi="Arial"/>
                <w:b/>
                <w:bCs/>
                <w:color w:val="000000"/>
                <w:sz w:val="14"/>
                <w:szCs w:val="14"/>
              </w:rPr>
              <w:t>(h) = (f) + (g)</w:t>
            </w:r>
          </w:p>
        </w:tc>
        <w:tc>
          <w:tcPr>
            <w:tcW w:w="1134" w:type="dxa"/>
            <w:tcBorders>
              <w:top w:val="nil"/>
              <w:bottom w:val="single" w:sz="4" w:space="0" w:color="auto"/>
            </w:tcBorders>
            <w:vAlign w:val="center"/>
          </w:tcPr>
          <w:p w14:paraId="1C9BBBDA" w14:textId="77777777" w:rsidR="007E3DB2" w:rsidRPr="000277E3" w:rsidRDefault="007E3DB2" w:rsidP="007E3DB2">
            <w:pPr>
              <w:jc w:val="right"/>
              <w:rPr>
                <w:rFonts w:ascii="Arial" w:hAnsi="Arial" w:cs="Arial"/>
                <w:b/>
                <w:bCs/>
                <w:color w:val="000000"/>
                <w:sz w:val="18"/>
              </w:rPr>
            </w:pPr>
            <w:r>
              <w:rPr>
                <w:rFonts w:ascii="Arial" w:hAnsi="Arial"/>
                <w:b/>
                <w:bCs/>
                <w:color w:val="000000"/>
                <w:sz w:val="18"/>
              </w:rPr>
              <w:t>782,5</w:t>
            </w:r>
          </w:p>
        </w:tc>
        <w:tc>
          <w:tcPr>
            <w:tcW w:w="1134" w:type="dxa"/>
            <w:tcBorders>
              <w:top w:val="nil"/>
              <w:bottom w:val="single" w:sz="4" w:space="0" w:color="auto"/>
            </w:tcBorders>
            <w:vAlign w:val="center"/>
          </w:tcPr>
          <w:p w14:paraId="1D825863" w14:textId="77777777" w:rsidR="007E3DB2" w:rsidRPr="000277E3" w:rsidRDefault="007E3DB2" w:rsidP="007E3DB2">
            <w:pPr>
              <w:jc w:val="right"/>
              <w:rPr>
                <w:rFonts w:ascii="Arial" w:hAnsi="Arial" w:cs="Arial"/>
                <w:b/>
                <w:bCs/>
                <w:color w:val="000000"/>
                <w:sz w:val="18"/>
              </w:rPr>
            </w:pPr>
            <w:r>
              <w:rPr>
                <w:rFonts w:ascii="Arial" w:hAnsi="Arial"/>
                <w:b/>
                <w:bCs/>
                <w:color w:val="000000"/>
                <w:sz w:val="18"/>
              </w:rPr>
              <w:t>946,6</w:t>
            </w:r>
          </w:p>
        </w:tc>
        <w:tc>
          <w:tcPr>
            <w:tcW w:w="1134" w:type="dxa"/>
            <w:tcBorders>
              <w:top w:val="nil"/>
              <w:bottom w:val="single" w:sz="4" w:space="0" w:color="auto"/>
              <w:right w:val="single" w:sz="4" w:space="0" w:color="auto"/>
            </w:tcBorders>
            <w:vAlign w:val="center"/>
          </w:tcPr>
          <w:p w14:paraId="2C859EAA" w14:textId="77777777" w:rsidR="007E3DB2" w:rsidRPr="000277E3" w:rsidRDefault="007E3DB2" w:rsidP="007E3DB2">
            <w:pPr>
              <w:jc w:val="right"/>
              <w:rPr>
                <w:rFonts w:ascii="Arial" w:hAnsi="Arial" w:cs="Arial"/>
                <w:b/>
                <w:bCs/>
                <w:color w:val="000000"/>
                <w:sz w:val="18"/>
              </w:rPr>
            </w:pPr>
            <w:r>
              <w:rPr>
                <w:rFonts w:ascii="Arial" w:hAnsi="Arial"/>
                <w:b/>
                <w:bCs/>
                <w:color w:val="000000"/>
                <w:sz w:val="18"/>
              </w:rPr>
              <w:t>1.729,1</w:t>
            </w:r>
          </w:p>
        </w:tc>
      </w:tr>
      <w:tr w:rsidR="00F9287A" w:rsidRPr="000277E3" w14:paraId="5F371AAF" w14:textId="77777777" w:rsidTr="00E070B4">
        <w:trPr>
          <w:trHeight w:val="113"/>
        </w:trPr>
        <w:tc>
          <w:tcPr>
            <w:tcW w:w="2154" w:type="dxa"/>
            <w:tcBorders>
              <w:left w:val="nil"/>
              <w:bottom w:val="single" w:sz="4" w:space="0" w:color="auto"/>
              <w:right w:val="nil"/>
            </w:tcBorders>
            <w:shd w:val="clear" w:color="auto" w:fill="auto"/>
            <w:vAlign w:val="center"/>
          </w:tcPr>
          <w:p w14:paraId="22CBECF5" w14:textId="77777777" w:rsidR="00F9287A" w:rsidRPr="000277E3" w:rsidRDefault="00F9287A" w:rsidP="00F9287A">
            <w:pPr>
              <w:rPr>
                <w:rFonts w:ascii="Arial" w:hAnsi="Arial" w:cs="Arial"/>
                <w:sz w:val="2"/>
                <w:szCs w:val="2"/>
                <w:lang w:val="fr-FR"/>
              </w:rPr>
            </w:pPr>
          </w:p>
        </w:tc>
        <w:tc>
          <w:tcPr>
            <w:tcW w:w="1134" w:type="dxa"/>
            <w:tcBorders>
              <w:left w:val="nil"/>
              <w:bottom w:val="single" w:sz="4" w:space="0" w:color="auto"/>
              <w:right w:val="nil"/>
            </w:tcBorders>
            <w:vAlign w:val="center"/>
          </w:tcPr>
          <w:p w14:paraId="044E39E4" w14:textId="77777777" w:rsidR="00F9287A" w:rsidRPr="000277E3" w:rsidRDefault="00F9287A" w:rsidP="00F9287A">
            <w:pPr>
              <w:jc w:val="center"/>
              <w:rPr>
                <w:rFonts w:ascii="Arial" w:hAnsi="Arial" w:cs="Arial"/>
                <w:sz w:val="2"/>
                <w:szCs w:val="2"/>
                <w:lang w:val="fr-FR"/>
              </w:rPr>
            </w:pPr>
          </w:p>
        </w:tc>
        <w:tc>
          <w:tcPr>
            <w:tcW w:w="1134" w:type="dxa"/>
            <w:tcBorders>
              <w:left w:val="nil"/>
              <w:bottom w:val="single" w:sz="4" w:space="0" w:color="auto"/>
              <w:right w:val="nil"/>
            </w:tcBorders>
            <w:vAlign w:val="center"/>
          </w:tcPr>
          <w:p w14:paraId="480F8CDC" w14:textId="77777777" w:rsidR="00F9287A" w:rsidRPr="000277E3" w:rsidRDefault="00F9287A" w:rsidP="00F9287A">
            <w:pPr>
              <w:jc w:val="right"/>
              <w:rPr>
                <w:rFonts w:ascii="Arial" w:hAnsi="Arial" w:cs="Arial"/>
                <w:sz w:val="2"/>
                <w:szCs w:val="2"/>
              </w:rPr>
            </w:pPr>
          </w:p>
        </w:tc>
        <w:tc>
          <w:tcPr>
            <w:tcW w:w="1134" w:type="dxa"/>
            <w:tcBorders>
              <w:left w:val="nil"/>
              <w:bottom w:val="single" w:sz="4" w:space="0" w:color="auto"/>
              <w:right w:val="nil"/>
            </w:tcBorders>
            <w:vAlign w:val="center"/>
          </w:tcPr>
          <w:p w14:paraId="179BB422" w14:textId="77777777" w:rsidR="00F9287A" w:rsidRPr="000277E3" w:rsidRDefault="00F9287A" w:rsidP="00F9287A">
            <w:pPr>
              <w:jc w:val="right"/>
              <w:rPr>
                <w:rFonts w:ascii="Arial" w:hAnsi="Arial" w:cs="Arial"/>
                <w:sz w:val="2"/>
                <w:szCs w:val="2"/>
                <w:highlight w:val="yellow"/>
              </w:rPr>
            </w:pPr>
          </w:p>
        </w:tc>
        <w:tc>
          <w:tcPr>
            <w:tcW w:w="1134" w:type="dxa"/>
            <w:tcBorders>
              <w:left w:val="nil"/>
              <w:bottom w:val="single" w:sz="4" w:space="0" w:color="auto"/>
              <w:right w:val="nil"/>
            </w:tcBorders>
            <w:vAlign w:val="center"/>
          </w:tcPr>
          <w:p w14:paraId="4B5A3885" w14:textId="77777777" w:rsidR="00F9287A" w:rsidRPr="000277E3" w:rsidRDefault="00F9287A" w:rsidP="00F9287A">
            <w:pPr>
              <w:jc w:val="right"/>
              <w:rPr>
                <w:rFonts w:ascii="Arial" w:hAnsi="Arial" w:cs="Arial"/>
                <w:sz w:val="2"/>
                <w:szCs w:val="2"/>
                <w:highlight w:val="yellow"/>
              </w:rPr>
            </w:pPr>
          </w:p>
        </w:tc>
      </w:tr>
      <w:tr w:rsidR="007E3DB2" w:rsidRPr="000277E3" w14:paraId="3E32E0F4" w14:textId="77777777" w:rsidTr="00E070B4">
        <w:trPr>
          <w:trHeight w:val="284"/>
        </w:trPr>
        <w:tc>
          <w:tcPr>
            <w:tcW w:w="2154" w:type="dxa"/>
            <w:tcBorders>
              <w:top w:val="single" w:sz="8" w:space="0" w:color="auto"/>
              <w:left w:val="single" w:sz="8" w:space="0" w:color="auto"/>
              <w:bottom w:val="single" w:sz="8" w:space="0" w:color="auto"/>
            </w:tcBorders>
            <w:shd w:val="clear" w:color="auto" w:fill="auto"/>
            <w:vAlign w:val="center"/>
          </w:tcPr>
          <w:p w14:paraId="600799A4" w14:textId="77777777" w:rsidR="007E3DB2" w:rsidRPr="000277E3" w:rsidRDefault="007E3DB2" w:rsidP="007E3DB2">
            <w:pPr>
              <w:rPr>
                <w:rFonts w:ascii="Arial" w:hAnsi="Arial" w:cs="Arial"/>
                <w:b/>
                <w:sz w:val="18"/>
                <w:szCs w:val="18"/>
              </w:rPr>
            </w:pPr>
            <w:r>
              <w:rPr>
                <w:rFonts w:ascii="Arial" w:hAnsi="Arial"/>
                <w:b/>
                <w:sz w:val="18"/>
                <w:szCs w:val="18"/>
              </w:rPr>
              <w:t>Crescita organica</w:t>
            </w:r>
          </w:p>
        </w:tc>
        <w:tc>
          <w:tcPr>
            <w:tcW w:w="1134" w:type="dxa"/>
            <w:tcBorders>
              <w:top w:val="single" w:sz="8" w:space="0" w:color="auto"/>
              <w:bottom w:val="single" w:sz="8" w:space="0" w:color="auto"/>
            </w:tcBorders>
            <w:vAlign w:val="center"/>
          </w:tcPr>
          <w:p w14:paraId="1E9E2244" w14:textId="77777777" w:rsidR="007E3DB2" w:rsidRPr="000277E3" w:rsidRDefault="007E3DB2" w:rsidP="007E3DB2">
            <w:pPr>
              <w:jc w:val="center"/>
              <w:rPr>
                <w:rFonts w:ascii="Arial" w:hAnsi="Arial" w:cs="Arial"/>
                <w:b/>
                <w:sz w:val="14"/>
                <w:szCs w:val="18"/>
              </w:rPr>
            </w:pPr>
            <w:r>
              <w:rPr>
                <w:rFonts w:ascii="Arial" w:hAnsi="Arial"/>
                <w:b/>
                <w:sz w:val="14"/>
                <w:szCs w:val="18"/>
              </w:rPr>
              <w:t>(i) = (h) / (a)</w:t>
            </w:r>
          </w:p>
        </w:tc>
        <w:tc>
          <w:tcPr>
            <w:tcW w:w="1134" w:type="dxa"/>
            <w:tcBorders>
              <w:top w:val="single" w:sz="8" w:space="0" w:color="auto"/>
              <w:bottom w:val="single" w:sz="8" w:space="0" w:color="auto"/>
            </w:tcBorders>
            <w:vAlign w:val="center"/>
          </w:tcPr>
          <w:p w14:paraId="33953D95" w14:textId="77777777" w:rsidR="007E3DB2" w:rsidRPr="000277E3" w:rsidRDefault="007E3DB2" w:rsidP="007E3DB2">
            <w:pPr>
              <w:jc w:val="right"/>
              <w:rPr>
                <w:rFonts w:ascii="Arial" w:hAnsi="Arial" w:cs="Arial"/>
                <w:b/>
                <w:sz w:val="18"/>
                <w:szCs w:val="18"/>
              </w:rPr>
            </w:pPr>
            <w:r>
              <w:rPr>
                <w:rFonts w:ascii="Arial" w:hAnsi="Arial"/>
                <w:b/>
                <w:sz w:val="18"/>
                <w:szCs w:val="18"/>
              </w:rPr>
              <w:t>+5,4%</w:t>
            </w:r>
          </w:p>
        </w:tc>
        <w:tc>
          <w:tcPr>
            <w:tcW w:w="1134" w:type="dxa"/>
            <w:tcBorders>
              <w:top w:val="single" w:sz="8" w:space="0" w:color="auto"/>
              <w:bottom w:val="single" w:sz="8" w:space="0" w:color="auto"/>
            </w:tcBorders>
            <w:vAlign w:val="center"/>
          </w:tcPr>
          <w:p w14:paraId="7F683D6A" w14:textId="77777777" w:rsidR="007E3DB2" w:rsidRPr="000277E3" w:rsidRDefault="007E3DB2" w:rsidP="007E3DB2">
            <w:pPr>
              <w:jc w:val="right"/>
              <w:rPr>
                <w:rFonts w:ascii="Arial" w:eastAsia="Times New Roman" w:hAnsi="Arial" w:cs="Arial"/>
                <w:b/>
                <w:sz w:val="18"/>
                <w:szCs w:val="18"/>
              </w:rPr>
            </w:pPr>
            <w:r>
              <w:rPr>
                <w:rFonts w:ascii="Arial" w:hAnsi="Arial"/>
                <w:b/>
                <w:sz w:val="18"/>
                <w:szCs w:val="18"/>
              </w:rPr>
              <w:t>+5,1%</w:t>
            </w:r>
          </w:p>
        </w:tc>
        <w:tc>
          <w:tcPr>
            <w:tcW w:w="1134" w:type="dxa"/>
            <w:tcBorders>
              <w:top w:val="single" w:sz="8" w:space="0" w:color="auto"/>
              <w:bottom w:val="single" w:sz="8" w:space="0" w:color="auto"/>
              <w:right w:val="single" w:sz="4" w:space="0" w:color="auto"/>
            </w:tcBorders>
            <w:vAlign w:val="center"/>
          </w:tcPr>
          <w:p w14:paraId="5D0905DD" w14:textId="77777777" w:rsidR="007E3DB2" w:rsidRPr="000277E3" w:rsidRDefault="007E3DB2" w:rsidP="007E3DB2">
            <w:pPr>
              <w:jc w:val="right"/>
              <w:rPr>
                <w:rFonts w:ascii="Arial" w:eastAsia="Times New Roman" w:hAnsi="Arial" w:cs="Arial"/>
                <w:b/>
                <w:sz w:val="18"/>
                <w:szCs w:val="18"/>
              </w:rPr>
            </w:pPr>
            <w:r>
              <w:rPr>
                <w:rFonts w:ascii="Arial" w:hAnsi="Arial"/>
                <w:b/>
                <w:sz w:val="18"/>
                <w:szCs w:val="18"/>
              </w:rPr>
              <w:t>+5,2%</w:t>
            </w:r>
          </w:p>
        </w:tc>
      </w:tr>
    </w:tbl>
    <w:p w14:paraId="40ECB92C" w14:textId="77777777" w:rsidR="000F1209" w:rsidRPr="000277E3" w:rsidRDefault="000F1209" w:rsidP="000F1209">
      <w:pPr>
        <w:pStyle w:val="Corpotesto"/>
        <w:ind w:left="1134"/>
        <w:rPr>
          <w:rFonts w:cs="Arial"/>
          <w:sz w:val="18"/>
          <w:szCs w:val="18"/>
          <w:lang w:val="fr-FR"/>
        </w:rPr>
      </w:pPr>
    </w:p>
    <w:p w14:paraId="5488A03B" w14:textId="77777777" w:rsidR="000F1209" w:rsidRPr="000277E3" w:rsidRDefault="000F1209" w:rsidP="000F1209">
      <w:pPr>
        <w:pStyle w:val="Corpotesto"/>
        <w:ind w:left="1134"/>
        <w:rPr>
          <w:rFonts w:cs="Arial"/>
          <w:sz w:val="18"/>
          <w:szCs w:val="18"/>
          <w:lang w:val="fr-FR"/>
        </w:rPr>
      </w:pPr>
    </w:p>
    <w:tbl>
      <w:tblPr>
        <w:tblW w:w="44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4"/>
        <w:gridCol w:w="2268"/>
      </w:tblGrid>
      <w:tr w:rsidR="000F1209" w:rsidRPr="00822164" w14:paraId="00DAC3E2" w14:textId="77777777" w:rsidTr="00AB5DE2">
        <w:trPr>
          <w:trHeight w:val="533"/>
        </w:trPr>
        <w:tc>
          <w:tcPr>
            <w:tcW w:w="2154" w:type="dxa"/>
            <w:shd w:val="clear" w:color="auto" w:fill="auto"/>
            <w:vAlign w:val="center"/>
          </w:tcPr>
          <w:p w14:paraId="1877C9B5" w14:textId="77777777" w:rsidR="000F1209" w:rsidRPr="000277E3" w:rsidRDefault="000F1209" w:rsidP="000F1209">
            <w:pPr>
              <w:jc w:val="center"/>
              <w:rPr>
                <w:rFonts w:ascii="Arial" w:hAnsi="Arial" w:cs="Arial"/>
                <w:b/>
                <w:sz w:val="18"/>
                <w:szCs w:val="18"/>
              </w:rPr>
            </w:pPr>
            <w:r>
              <w:rPr>
                <w:rFonts w:ascii="Arial" w:hAnsi="Arial"/>
                <w:bCs/>
                <w:sz w:val="18"/>
                <w:szCs w:val="18"/>
              </w:rPr>
              <w:t>m€</w:t>
            </w:r>
          </w:p>
        </w:tc>
        <w:tc>
          <w:tcPr>
            <w:tcW w:w="2268" w:type="dxa"/>
            <w:vAlign w:val="center"/>
          </w:tcPr>
          <w:p w14:paraId="4681E92A" w14:textId="77777777" w:rsidR="000F1209" w:rsidRPr="000277E3" w:rsidRDefault="00AB5DE2" w:rsidP="000F1209">
            <w:pPr>
              <w:jc w:val="right"/>
              <w:rPr>
                <w:rFonts w:ascii="Arial" w:hAnsi="Arial" w:cs="Arial"/>
                <w:b/>
                <w:sz w:val="18"/>
                <w:szCs w:val="18"/>
              </w:rPr>
            </w:pPr>
            <w:r>
              <w:rPr>
                <w:rFonts w:ascii="Arial" w:hAnsi="Arial"/>
                <w:b/>
                <w:sz w:val="18"/>
                <w:szCs w:val="18"/>
              </w:rPr>
              <w:t>Effetti del tasso di cambio al 30 giugno 2019</w:t>
            </w:r>
          </w:p>
        </w:tc>
      </w:tr>
      <w:tr w:rsidR="000F1209" w:rsidRPr="00822164" w14:paraId="7533C0B8" w14:textId="77777777" w:rsidTr="00AB5DE2">
        <w:trPr>
          <w:trHeight w:val="113"/>
        </w:trPr>
        <w:tc>
          <w:tcPr>
            <w:tcW w:w="2154" w:type="dxa"/>
            <w:tcBorders>
              <w:left w:val="nil"/>
              <w:bottom w:val="single" w:sz="4" w:space="0" w:color="auto"/>
              <w:right w:val="nil"/>
            </w:tcBorders>
            <w:shd w:val="clear" w:color="auto" w:fill="auto"/>
            <w:vAlign w:val="center"/>
          </w:tcPr>
          <w:p w14:paraId="63995D7C" w14:textId="77777777" w:rsidR="000F1209" w:rsidRPr="00D14232" w:rsidRDefault="000F1209" w:rsidP="000F1209">
            <w:pPr>
              <w:rPr>
                <w:rFonts w:ascii="Arial" w:hAnsi="Arial" w:cs="Arial"/>
                <w:sz w:val="2"/>
                <w:szCs w:val="2"/>
              </w:rPr>
            </w:pPr>
          </w:p>
        </w:tc>
        <w:tc>
          <w:tcPr>
            <w:tcW w:w="2268" w:type="dxa"/>
            <w:tcBorders>
              <w:left w:val="nil"/>
              <w:bottom w:val="single" w:sz="4" w:space="0" w:color="auto"/>
              <w:right w:val="nil"/>
            </w:tcBorders>
            <w:vAlign w:val="center"/>
          </w:tcPr>
          <w:p w14:paraId="0DA45A95" w14:textId="77777777" w:rsidR="000F1209" w:rsidRPr="00D14232" w:rsidRDefault="000F1209" w:rsidP="000F1209">
            <w:pPr>
              <w:rPr>
                <w:rFonts w:ascii="Arial" w:hAnsi="Arial" w:cs="Arial"/>
                <w:sz w:val="2"/>
                <w:szCs w:val="2"/>
              </w:rPr>
            </w:pPr>
          </w:p>
        </w:tc>
      </w:tr>
      <w:tr w:rsidR="007E3DB2" w:rsidRPr="000277E3" w14:paraId="014696C4" w14:textId="77777777" w:rsidTr="00A33C9C">
        <w:trPr>
          <w:trHeight w:val="284"/>
        </w:trPr>
        <w:tc>
          <w:tcPr>
            <w:tcW w:w="2154" w:type="dxa"/>
            <w:tcBorders>
              <w:bottom w:val="nil"/>
            </w:tcBorders>
            <w:shd w:val="clear" w:color="auto" w:fill="auto"/>
            <w:vAlign w:val="center"/>
          </w:tcPr>
          <w:p w14:paraId="5D7554B1" w14:textId="77777777" w:rsidR="007E3DB2" w:rsidRPr="000277E3" w:rsidRDefault="007E3DB2" w:rsidP="007E3DB2">
            <w:pPr>
              <w:rPr>
                <w:rFonts w:ascii="Arial" w:hAnsi="Arial" w:cs="Arial"/>
                <w:sz w:val="18"/>
                <w:szCs w:val="18"/>
              </w:rPr>
            </w:pPr>
            <w:r>
              <w:rPr>
                <w:rFonts w:ascii="Arial" w:hAnsi="Arial"/>
                <w:sz w:val="18"/>
                <w:szCs w:val="18"/>
              </w:rPr>
              <w:t>USD</w:t>
            </w:r>
          </w:p>
        </w:tc>
        <w:tc>
          <w:tcPr>
            <w:tcW w:w="2268" w:type="dxa"/>
            <w:tcBorders>
              <w:bottom w:val="nil"/>
            </w:tcBorders>
            <w:vAlign w:val="center"/>
          </w:tcPr>
          <w:p w14:paraId="793F0242" w14:textId="4205BC8C" w:rsidR="007E3DB2" w:rsidRPr="000277E3" w:rsidRDefault="00602E1E" w:rsidP="007E3DB2">
            <w:pPr>
              <w:jc w:val="right"/>
              <w:rPr>
                <w:rFonts w:ascii="Arial" w:hAnsi="Arial" w:cs="Arial"/>
                <w:color w:val="000000"/>
                <w:sz w:val="18"/>
              </w:rPr>
            </w:pPr>
            <w:r>
              <w:rPr>
                <w:rFonts w:ascii="Arial" w:hAnsi="Arial"/>
                <w:color w:val="000000"/>
                <w:sz w:val="18"/>
              </w:rPr>
              <w:t>(</w:t>
            </w:r>
            <w:r w:rsidR="007E3DB2">
              <w:rPr>
                <w:rFonts w:ascii="Arial" w:hAnsi="Arial"/>
                <w:color w:val="000000"/>
                <w:sz w:val="18"/>
              </w:rPr>
              <w:t>9,8</w:t>
            </w:r>
            <w:r>
              <w:rPr>
                <w:rFonts w:ascii="Arial" w:hAnsi="Arial"/>
                <w:color w:val="000000"/>
                <w:sz w:val="18"/>
              </w:rPr>
              <w:t>)</w:t>
            </w:r>
          </w:p>
        </w:tc>
      </w:tr>
      <w:tr w:rsidR="007E3DB2" w:rsidRPr="000277E3" w14:paraId="498949ED" w14:textId="77777777" w:rsidTr="00EA6332">
        <w:trPr>
          <w:trHeight w:val="284"/>
        </w:trPr>
        <w:tc>
          <w:tcPr>
            <w:tcW w:w="2154" w:type="dxa"/>
            <w:tcBorders>
              <w:top w:val="nil"/>
              <w:bottom w:val="nil"/>
            </w:tcBorders>
            <w:shd w:val="clear" w:color="auto" w:fill="auto"/>
            <w:vAlign w:val="center"/>
          </w:tcPr>
          <w:p w14:paraId="0C128931" w14:textId="77777777" w:rsidR="007E3DB2" w:rsidRPr="000277E3" w:rsidRDefault="007E3DB2" w:rsidP="007E3DB2">
            <w:pPr>
              <w:rPr>
                <w:rFonts w:ascii="Arial" w:hAnsi="Arial" w:cs="Arial"/>
                <w:sz w:val="18"/>
                <w:szCs w:val="18"/>
              </w:rPr>
            </w:pPr>
            <w:r>
              <w:rPr>
                <w:rFonts w:ascii="Arial" w:hAnsi="Arial"/>
                <w:sz w:val="18"/>
                <w:szCs w:val="18"/>
              </w:rPr>
              <w:t>HKD</w:t>
            </w:r>
          </w:p>
        </w:tc>
        <w:tc>
          <w:tcPr>
            <w:tcW w:w="2268" w:type="dxa"/>
            <w:tcBorders>
              <w:top w:val="nil"/>
              <w:bottom w:val="nil"/>
            </w:tcBorders>
            <w:vAlign w:val="center"/>
          </w:tcPr>
          <w:p w14:paraId="3E25C1D1" w14:textId="527861B9" w:rsidR="007E3DB2" w:rsidRPr="000277E3" w:rsidRDefault="00602E1E" w:rsidP="007E3DB2">
            <w:pPr>
              <w:jc w:val="right"/>
              <w:rPr>
                <w:rFonts w:ascii="Arial" w:hAnsi="Arial" w:cs="Arial"/>
                <w:color w:val="000000"/>
                <w:sz w:val="18"/>
              </w:rPr>
            </w:pPr>
            <w:r>
              <w:rPr>
                <w:rFonts w:ascii="Arial" w:hAnsi="Arial"/>
                <w:color w:val="000000"/>
                <w:sz w:val="18"/>
              </w:rPr>
              <w:t>(</w:t>
            </w:r>
            <w:r w:rsidR="007E3DB2">
              <w:rPr>
                <w:rFonts w:ascii="Arial" w:hAnsi="Arial"/>
                <w:color w:val="000000"/>
                <w:sz w:val="18"/>
              </w:rPr>
              <w:t>7,1</w:t>
            </w:r>
            <w:r>
              <w:rPr>
                <w:rFonts w:ascii="Arial" w:hAnsi="Arial"/>
                <w:color w:val="000000"/>
                <w:sz w:val="18"/>
              </w:rPr>
              <w:t>)</w:t>
            </w:r>
          </w:p>
        </w:tc>
      </w:tr>
      <w:tr w:rsidR="007E3DB2" w:rsidRPr="000277E3" w14:paraId="5A82D784" w14:textId="77777777" w:rsidTr="00EA6332">
        <w:trPr>
          <w:trHeight w:val="284"/>
        </w:trPr>
        <w:tc>
          <w:tcPr>
            <w:tcW w:w="2154" w:type="dxa"/>
            <w:tcBorders>
              <w:top w:val="nil"/>
              <w:bottom w:val="nil"/>
            </w:tcBorders>
            <w:shd w:val="clear" w:color="auto" w:fill="auto"/>
            <w:vAlign w:val="center"/>
          </w:tcPr>
          <w:p w14:paraId="32E5E6E9" w14:textId="77777777" w:rsidR="007E3DB2" w:rsidRPr="000277E3" w:rsidRDefault="007E3DB2" w:rsidP="007E3DB2">
            <w:pPr>
              <w:rPr>
                <w:rFonts w:ascii="Arial" w:hAnsi="Arial" w:cs="Arial"/>
                <w:sz w:val="18"/>
                <w:szCs w:val="18"/>
              </w:rPr>
            </w:pPr>
            <w:r>
              <w:rPr>
                <w:rFonts w:ascii="Arial" w:hAnsi="Arial"/>
                <w:sz w:val="18"/>
                <w:szCs w:val="18"/>
              </w:rPr>
              <w:t>UAE</w:t>
            </w:r>
          </w:p>
        </w:tc>
        <w:tc>
          <w:tcPr>
            <w:tcW w:w="2268" w:type="dxa"/>
            <w:tcBorders>
              <w:top w:val="nil"/>
              <w:bottom w:val="nil"/>
            </w:tcBorders>
            <w:vAlign w:val="center"/>
          </w:tcPr>
          <w:p w14:paraId="38D83C01" w14:textId="00BBCBA2" w:rsidR="007E3DB2" w:rsidRPr="000277E3" w:rsidRDefault="00602E1E" w:rsidP="007E3DB2">
            <w:pPr>
              <w:jc w:val="right"/>
              <w:rPr>
                <w:rFonts w:ascii="Arial" w:hAnsi="Arial" w:cs="Arial"/>
                <w:color w:val="000000"/>
                <w:sz w:val="18"/>
              </w:rPr>
            </w:pPr>
            <w:r>
              <w:rPr>
                <w:rFonts w:ascii="Arial" w:hAnsi="Arial"/>
                <w:color w:val="000000"/>
                <w:sz w:val="18"/>
              </w:rPr>
              <w:t>(</w:t>
            </w:r>
            <w:r w:rsidR="007E3DB2">
              <w:rPr>
                <w:rFonts w:ascii="Arial" w:hAnsi="Arial"/>
                <w:color w:val="000000"/>
                <w:sz w:val="18"/>
              </w:rPr>
              <w:t>2,5</w:t>
            </w:r>
            <w:r>
              <w:rPr>
                <w:rFonts w:ascii="Arial" w:hAnsi="Arial"/>
                <w:color w:val="000000"/>
                <w:sz w:val="18"/>
              </w:rPr>
              <w:t>)</w:t>
            </w:r>
          </w:p>
        </w:tc>
      </w:tr>
      <w:tr w:rsidR="007E3DB2" w:rsidRPr="000277E3" w14:paraId="7B23273B" w14:textId="77777777" w:rsidTr="00EA6332">
        <w:trPr>
          <w:trHeight w:val="284"/>
        </w:trPr>
        <w:tc>
          <w:tcPr>
            <w:tcW w:w="2154" w:type="dxa"/>
            <w:tcBorders>
              <w:top w:val="nil"/>
              <w:bottom w:val="nil"/>
            </w:tcBorders>
            <w:shd w:val="clear" w:color="auto" w:fill="auto"/>
            <w:vAlign w:val="center"/>
          </w:tcPr>
          <w:p w14:paraId="6892C508" w14:textId="77777777" w:rsidR="007E3DB2" w:rsidRPr="000277E3" w:rsidRDefault="007E3DB2" w:rsidP="007E3DB2">
            <w:pPr>
              <w:rPr>
                <w:rFonts w:ascii="Arial" w:hAnsi="Arial" w:cs="Arial"/>
                <w:sz w:val="18"/>
                <w:szCs w:val="18"/>
              </w:rPr>
            </w:pPr>
            <w:r>
              <w:rPr>
                <w:rFonts w:ascii="Arial" w:hAnsi="Arial"/>
                <w:sz w:val="18"/>
                <w:szCs w:val="18"/>
              </w:rPr>
              <w:t>GBP</w:t>
            </w:r>
          </w:p>
        </w:tc>
        <w:tc>
          <w:tcPr>
            <w:tcW w:w="2268" w:type="dxa"/>
            <w:tcBorders>
              <w:top w:val="nil"/>
              <w:bottom w:val="nil"/>
            </w:tcBorders>
            <w:vAlign w:val="center"/>
          </w:tcPr>
          <w:p w14:paraId="619DBB31" w14:textId="245701C6" w:rsidR="007E3DB2" w:rsidRPr="000277E3" w:rsidRDefault="00602E1E" w:rsidP="007E3DB2">
            <w:pPr>
              <w:jc w:val="right"/>
              <w:rPr>
                <w:rFonts w:ascii="Arial" w:hAnsi="Arial" w:cs="Arial"/>
                <w:color w:val="000000"/>
                <w:sz w:val="18"/>
              </w:rPr>
            </w:pPr>
            <w:r>
              <w:rPr>
                <w:rFonts w:ascii="Arial" w:hAnsi="Arial"/>
                <w:color w:val="000000"/>
                <w:sz w:val="18"/>
              </w:rPr>
              <w:t>(</w:t>
            </w:r>
            <w:r w:rsidR="007E3DB2">
              <w:rPr>
                <w:rFonts w:ascii="Arial" w:hAnsi="Arial"/>
                <w:color w:val="000000"/>
                <w:sz w:val="18"/>
              </w:rPr>
              <w:t>1,2</w:t>
            </w:r>
            <w:r>
              <w:rPr>
                <w:rFonts w:ascii="Arial" w:hAnsi="Arial"/>
                <w:color w:val="000000"/>
                <w:sz w:val="18"/>
              </w:rPr>
              <w:t>)</w:t>
            </w:r>
          </w:p>
        </w:tc>
      </w:tr>
      <w:tr w:rsidR="007E3DB2" w:rsidRPr="000277E3" w14:paraId="68CA5063" w14:textId="77777777" w:rsidTr="00EA6332">
        <w:trPr>
          <w:trHeight w:val="284"/>
        </w:trPr>
        <w:tc>
          <w:tcPr>
            <w:tcW w:w="2154" w:type="dxa"/>
            <w:tcBorders>
              <w:top w:val="nil"/>
              <w:bottom w:val="nil"/>
            </w:tcBorders>
            <w:shd w:val="clear" w:color="auto" w:fill="auto"/>
            <w:vAlign w:val="center"/>
          </w:tcPr>
          <w:p w14:paraId="0EA4F9DF" w14:textId="77777777" w:rsidR="007E3DB2" w:rsidRPr="000277E3" w:rsidRDefault="007E3DB2" w:rsidP="007E3DB2">
            <w:pPr>
              <w:rPr>
                <w:rFonts w:ascii="Arial" w:hAnsi="Arial" w:cs="Arial"/>
                <w:sz w:val="18"/>
                <w:szCs w:val="18"/>
              </w:rPr>
            </w:pPr>
            <w:r>
              <w:rPr>
                <w:rFonts w:ascii="Arial" w:hAnsi="Arial"/>
                <w:sz w:val="18"/>
                <w:szCs w:val="18"/>
              </w:rPr>
              <w:t>BRL</w:t>
            </w:r>
          </w:p>
        </w:tc>
        <w:tc>
          <w:tcPr>
            <w:tcW w:w="2268" w:type="dxa"/>
            <w:tcBorders>
              <w:top w:val="nil"/>
              <w:bottom w:val="nil"/>
            </w:tcBorders>
            <w:vAlign w:val="center"/>
          </w:tcPr>
          <w:p w14:paraId="6A12A82A" w14:textId="6883FB2D" w:rsidR="007E3DB2" w:rsidRPr="000277E3" w:rsidRDefault="007E3DB2" w:rsidP="007E3DB2">
            <w:pPr>
              <w:jc w:val="right"/>
              <w:rPr>
                <w:rFonts w:ascii="Arial" w:hAnsi="Arial" w:cs="Arial"/>
                <w:color w:val="000000"/>
                <w:sz w:val="18"/>
              </w:rPr>
            </w:pPr>
            <w:r>
              <w:rPr>
                <w:rFonts w:ascii="Arial" w:hAnsi="Arial"/>
                <w:color w:val="000000"/>
                <w:sz w:val="18"/>
              </w:rPr>
              <w:t>1,8</w:t>
            </w:r>
          </w:p>
        </w:tc>
      </w:tr>
      <w:tr w:rsidR="00975433" w:rsidRPr="000277E3" w14:paraId="3E5E3498" w14:textId="77777777" w:rsidTr="00EA6332">
        <w:trPr>
          <w:trHeight w:val="284"/>
        </w:trPr>
        <w:tc>
          <w:tcPr>
            <w:tcW w:w="2154" w:type="dxa"/>
            <w:tcBorders>
              <w:top w:val="nil"/>
              <w:bottom w:val="nil"/>
            </w:tcBorders>
            <w:shd w:val="clear" w:color="auto" w:fill="auto"/>
            <w:vAlign w:val="center"/>
          </w:tcPr>
          <w:p w14:paraId="347ACCD8" w14:textId="77777777" w:rsidR="00975433" w:rsidRPr="000277E3" w:rsidRDefault="00975433" w:rsidP="00975433">
            <w:pPr>
              <w:rPr>
                <w:rFonts w:ascii="Arial" w:hAnsi="Arial" w:cs="Arial"/>
                <w:sz w:val="18"/>
                <w:szCs w:val="18"/>
              </w:rPr>
            </w:pPr>
            <w:r>
              <w:rPr>
                <w:rFonts w:ascii="Arial" w:hAnsi="Arial"/>
                <w:sz w:val="18"/>
                <w:szCs w:val="18"/>
              </w:rPr>
              <w:t>Altro</w:t>
            </w:r>
          </w:p>
        </w:tc>
        <w:tc>
          <w:tcPr>
            <w:tcW w:w="2268" w:type="dxa"/>
            <w:tcBorders>
              <w:top w:val="nil"/>
              <w:bottom w:val="nil"/>
            </w:tcBorders>
            <w:vAlign w:val="center"/>
          </w:tcPr>
          <w:p w14:paraId="66113D01" w14:textId="499BB171" w:rsidR="00975433" w:rsidRPr="000277E3" w:rsidRDefault="00602E1E" w:rsidP="00975433">
            <w:pPr>
              <w:jc w:val="right"/>
              <w:rPr>
                <w:rFonts w:ascii="Arial" w:hAnsi="Arial" w:cs="Arial"/>
                <w:color w:val="000000"/>
                <w:sz w:val="18"/>
              </w:rPr>
            </w:pPr>
            <w:r>
              <w:rPr>
                <w:rFonts w:ascii="Arial" w:hAnsi="Arial"/>
                <w:color w:val="000000"/>
                <w:sz w:val="18"/>
              </w:rPr>
              <w:t>(</w:t>
            </w:r>
            <w:r w:rsidR="007E3DB2">
              <w:rPr>
                <w:rFonts w:ascii="Arial" w:hAnsi="Arial"/>
                <w:color w:val="000000"/>
                <w:sz w:val="18"/>
              </w:rPr>
              <w:t>3,7</w:t>
            </w:r>
            <w:r>
              <w:rPr>
                <w:rFonts w:ascii="Arial" w:hAnsi="Arial"/>
                <w:color w:val="000000"/>
                <w:sz w:val="18"/>
              </w:rPr>
              <w:t>)</w:t>
            </w:r>
          </w:p>
        </w:tc>
      </w:tr>
      <w:tr w:rsidR="00975433" w:rsidRPr="000277E3" w14:paraId="7960486F" w14:textId="77777777" w:rsidTr="00AB5DE2">
        <w:trPr>
          <w:trHeight w:val="113"/>
        </w:trPr>
        <w:tc>
          <w:tcPr>
            <w:tcW w:w="2154" w:type="dxa"/>
            <w:tcBorders>
              <w:left w:val="nil"/>
              <w:bottom w:val="single" w:sz="8" w:space="0" w:color="auto"/>
              <w:right w:val="nil"/>
            </w:tcBorders>
            <w:shd w:val="clear" w:color="auto" w:fill="auto"/>
            <w:vAlign w:val="center"/>
          </w:tcPr>
          <w:p w14:paraId="3F146DE8" w14:textId="77777777" w:rsidR="00975433" w:rsidRPr="000277E3" w:rsidRDefault="00975433" w:rsidP="00975433">
            <w:pPr>
              <w:rPr>
                <w:rFonts w:ascii="Arial" w:hAnsi="Arial" w:cs="Arial"/>
                <w:sz w:val="2"/>
                <w:szCs w:val="2"/>
                <w:lang w:val="fr-FR"/>
              </w:rPr>
            </w:pPr>
          </w:p>
        </w:tc>
        <w:tc>
          <w:tcPr>
            <w:tcW w:w="2268" w:type="dxa"/>
            <w:tcBorders>
              <w:left w:val="nil"/>
              <w:bottom w:val="single" w:sz="8" w:space="0" w:color="auto"/>
              <w:right w:val="nil"/>
            </w:tcBorders>
            <w:vAlign w:val="center"/>
          </w:tcPr>
          <w:p w14:paraId="0DC92A16" w14:textId="77777777" w:rsidR="00975433" w:rsidRPr="000277E3" w:rsidRDefault="00975433" w:rsidP="00975433">
            <w:pPr>
              <w:rPr>
                <w:rFonts w:ascii="Arial" w:hAnsi="Arial" w:cs="Arial"/>
                <w:sz w:val="2"/>
                <w:szCs w:val="2"/>
              </w:rPr>
            </w:pPr>
          </w:p>
        </w:tc>
      </w:tr>
      <w:tr w:rsidR="00975433" w:rsidRPr="000277E3" w14:paraId="30D845BF" w14:textId="77777777" w:rsidTr="00AB5DE2">
        <w:trPr>
          <w:trHeight w:val="284"/>
        </w:trPr>
        <w:tc>
          <w:tcPr>
            <w:tcW w:w="2154" w:type="dxa"/>
            <w:tcBorders>
              <w:top w:val="single" w:sz="8" w:space="0" w:color="auto"/>
              <w:left w:val="single" w:sz="8" w:space="0" w:color="auto"/>
              <w:bottom w:val="single" w:sz="8" w:space="0" w:color="auto"/>
            </w:tcBorders>
            <w:shd w:val="clear" w:color="auto" w:fill="auto"/>
            <w:vAlign w:val="center"/>
          </w:tcPr>
          <w:p w14:paraId="7DC7BE3C" w14:textId="77777777" w:rsidR="00975433" w:rsidRPr="000277E3" w:rsidRDefault="00975433" w:rsidP="00975433">
            <w:pPr>
              <w:rPr>
                <w:rFonts w:ascii="Arial" w:hAnsi="Arial" w:cs="Arial"/>
                <w:b/>
                <w:sz w:val="18"/>
                <w:szCs w:val="18"/>
              </w:rPr>
            </w:pPr>
            <w:r>
              <w:rPr>
                <w:rFonts w:ascii="Arial" w:hAnsi="Arial"/>
                <w:b/>
                <w:sz w:val="18"/>
                <w:szCs w:val="18"/>
              </w:rPr>
              <w:t>Totale</w:t>
            </w:r>
          </w:p>
        </w:tc>
        <w:tc>
          <w:tcPr>
            <w:tcW w:w="2268" w:type="dxa"/>
            <w:tcBorders>
              <w:top w:val="single" w:sz="8" w:space="0" w:color="auto"/>
              <w:bottom w:val="single" w:sz="8" w:space="0" w:color="auto"/>
              <w:right w:val="single" w:sz="8" w:space="0" w:color="auto"/>
            </w:tcBorders>
            <w:vAlign w:val="center"/>
          </w:tcPr>
          <w:p w14:paraId="72DA03FF" w14:textId="05B75D8E" w:rsidR="00975433" w:rsidRPr="000277E3" w:rsidRDefault="00602E1E" w:rsidP="00975433">
            <w:pPr>
              <w:jc w:val="right"/>
              <w:rPr>
                <w:rFonts w:ascii="Arial" w:hAnsi="Arial" w:cs="Arial"/>
                <w:b/>
                <w:sz w:val="18"/>
                <w:szCs w:val="18"/>
              </w:rPr>
            </w:pPr>
            <w:r>
              <w:rPr>
                <w:rFonts w:ascii="Arial" w:hAnsi="Arial"/>
                <w:b/>
                <w:sz w:val="18"/>
                <w:szCs w:val="18"/>
              </w:rPr>
              <w:t>(</w:t>
            </w:r>
            <w:r w:rsidR="007E3DB2">
              <w:rPr>
                <w:rFonts w:ascii="Arial" w:hAnsi="Arial"/>
                <w:b/>
                <w:sz w:val="18"/>
                <w:szCs w:val="18"/>
              </w:rPr>
              <w:t>22,5</w:t>
            </w:r>
            <w:r>
              <w:rPr>
                <w:rFonts w:ascii="Arial" w:hAnsi="Arial"/>
                <w:b/>
                <w:sz w:val="18"/>
                <w:szCs w:val="18"/>
              </w:rPr>
              <w:t>)</w:t>
            </w:r>
          </w:p>
        </w:tc>
      </w:tr>
    </w:tbl>
    <w:p w14:paraId="73F890D1" w14:textId="77777777" w:rsidR="000F1209" w:rsidRPr="000277E3" w:rsidRDefault="000F1209" w:rsidP="000F1209">
      <w:pPr>
        <w:pStyle w:val="Corpotesto"/>
        <w:ind w:left="1134"/>
        <w:rPr>
          <w:rFonts w:cs="Arial"/>
          <w:sz w:val="18"/>
          <w:szCs w:val="18"/>
          <w:lang w:val="fr-FR"/>
        </w:rPr>
      </w:pPr>
    </w:p>
    <w:p w14:paraId="21D8995D" w14:textId="77777777" w:rsidR="000F1209" w:rsidRPr="000277E3" w:rsidRDefault="000F1209" w:rsidP="000F1209">
      <w:pPr>
        <w:pStyle w:val="Corpotesto"/>
        <w:ind w:left="1134"/>
        <w:rPr>
          <w:rFonts w:cs="Arial"/>
          <w:sz w:val="18"/>
          <w:szCs w:val="18"/>
          <w:lang w:val="fr-FR"/>
        </w:rPr>
      </w:pPr>
    </w:p>
    <w:tbl>
      <w:tblPr>
        <w:tblW w:w="44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4"/>
        <w:gridCol w:w="1134"/>
        <w:gridCol w:w="1134"/>
      </w:tblGrid>
      <w:tr w:rsidR="000F1209" w:rsidRPr="000277E3" w14:paraId="572224DF" w14:textId="77777777" w:rsidTr="00AB5DE2">
        <w:trPr>
          <w:trHeight w:val="533"/>
        </w:trPr>
        <w:tc>
          <w:tcPr>
            <w:tcW w:w="2154" w:type="dxa"/>
            <w:shd w:val="clear" w:color="auto" w:fill="auto"/>
            <w:vAlign w:val="center"/>
          </w:tcPr>
          <w:p w14:paraId="0D804CF2" w14:textId="77777777" w:rsidR="000F1209" w:rsidRPr="000277E3" w:rsidRDefault="000F1209" w:rsidP="000F1209">
            <w:pPr>
              <w:jc w:val="center"/>
              <w:rPr>
                <w:rFonts w:ascii="Arial" w:hAnsi="Arial" w:cs="Arial"/>
                <w:b/>
                <w:sz w:val="18"/>
                <w:szCs w:val="18"/>
              </w:rPr>
            </w:pPr>
            <w:r>
              <w:rPr>
                <w:rFonts w:ascii="Arial" w:hAnsi="Arial"/>
                <w:bCs/>
                <w:sz w:val="18"/>
                <w:szCs w:val="18"/>
              </w:rPr>
              <w:t>Tasso medio di cambio</w:t>
            </w:r>
          </w:p>
        </w:tc>
        <w:tc>
          <w:tcPr>
            <w:tcW w:w="1134" w:type="dxa"/>
            <w:vAlign w:val="center"/>
          </w:tcPr>
          <w:p w14:paraId="0E149052" w14:textId="77777777" w:rsidR="000F1209" w:rsidRPr="000277E3" w:rsidRDefault="00F9287A" w:rsidP="000F1209">
            <w:pPr>
              <w:jc w:val="right"/>
              <w:rPr>
                <w:rFonts w:ascii="Arial" w:hAnsi="Arial" w:cs="Arial"/>
                <w:b/>
                <w:sz w:val="18"/>
                <w:szCs w:val="18"/>
              </w:rPr>
            </w:pPr>
            <w:r>
              <w:rPr>
                <w:rFonts w:ascii="Arial" w:hAnsi="Arial"/>
                <w:b/>
                <w:sz w:val="18"/>
                <w:szCs w:val="18"/>
              </w:rPr>
              <w:t>S1 2019</w:t>
            </w:r>
          </w:p>
        </w:tc>
        <w:tc>
          <w:tcPr>
            <w:tcW w:w="1134" w:type="dxa"/>
            <w:vAlign w:val="center"/>
          </w:tcPr>
          <w:p w14:paraId="45F15A4D" w14:textId="77777777" w:rsidR="000F1209" w:rsidRPr="000277E3" w:rsidRDefault="00F9287A" w:rsidP="000F1209">
            <w:pPr>
              <w:jc w:val="right"/>
              <w:rPr>
                <w:rFonts w:ascii="Arial" w:hAnsi="Arial" w:cs="Arial"/>
                <w:b/>
                <w:sz w:val="18"/>
                <w:szCs w:val="18"/>
              </w:rPr>
            </w:pPr>
            <w:r>
              <w:rPr>
                <w:rFonts w:ascii="Arial" w:hAnsi="Arial"/>
                <w:b/>
                <w:sz w:val="18"/>
                <w:szCs w:val="18"/>
              </w:rPr>
              <w:t>S1 2018</w:t>
            </w:r>
          </w:p>
        </w:tc>
      </w:tr>
      <w:tr w:rsidR="000F1209" w:rsidRPr="000277E3" w14:paraId="5037E6AE" w14:textId="77777777" w:rsidTr="00AB5DE2">
        <w:trPr>
          <w:trHeight w:val="113"/>
        </w:trPr>
        <w:tc>
          <w:tcPr>
            <w:tcW w:w="2154" w:type="dxa"/>
            <w:tcBorders>
              <w:left w:val="nil"/>
              <w:bottom w:val="single" w:sz="4" w:space="0" w:color="auto"/>
              <w:right w:val="nil"/>
            </w:tcBorders>
            <w:shd w:val="clear" w:color="auto" w:fill="auto"/>
            <w:vAlign w:val="center"/>
          </w:tcPr>
          <w:p w14:paraId="53ED643D" w14:textId="77777777" w:rsidR="000F1209" w:rsidRPr="000277E3" w:rsidRDefault="000F1209" w:rsidP="000F1209">
            <w:pPr>
              <w:rPr>
                <w:rFonts w:ascii="Arial" w:hAnsi="Arial" w:cs="Arial"/>
                <w:sz w:val="2"/>
                <w:szCs w:val="2"/>
                <w:lang w:val="fr-FR"/>
              </w:rPr>
            </w:pPr>
          </w:p>
        </w:tc>
        <w:tc>
          <w:tcPr>
            <w:tcW w:w="1134" w:type="dxa"/>
            <w:tcBorders>
              <w:left w:val="nil"/>
              <w:bottom w:val="single" w:sz="4" w:space="0" w:color="auto"/>
              <w:right w:val="nil"/>
            </w:tcBorders>
            <w:vAlign w:val="center"/>
          </w:tcPr>
          <w:p w14:paraId="552B6135" w14:textId="77777777" w:rsidR="000F1209" w:rsidRPr="000277E3" w:rsidRDefault="000F1209" w:rsidP="000F1209">
            <w:pPr>
              <w:rPr>
                <w:rFonts w:ascii="Arial" w:hAnsi="Arial" w:cs="Arial"/>
                <w:sz w:val="2"/>
                <w:szCs w:val="2"/>
                <w:lang w:val="fr-FR"/>
              </w:rPr>
            </w:pPr>
          </w:p>
        </w:tc>
        <w:tc>
          <w:tcPr>
            <w:tcW w:w="1134" w:type="dxa"/>
            <w:tcBorders>
              <w:left w:val="nil"/>
              <w:bottom w:val="single" w:sz="4" w:space="0" w:color="auto"/>
              <w:right w:val="nil"/>
            </w:tcBorders>
            <w:vAlign w:val="center"/>
          </w:tcPr>
          <w:p w14:paraId="7C3D216A" w14:textId="77777777" w:rsidR="000F1209" w:rsidRPr="000277E3" w:rsidRDefault="000F1209" w:rsidP="000F1209">
            <w:pPr>
              <w:rPr>
                <w:rFonts w:ascii="Arial" w:hAnsi="Arial" w:cs="Arial"/>
                <w:sz w:val="2"/>
                <w:szCs w:val="2"/>
                <w:lang w:val="fr-FR"/>
              </w:rPr>
            </w:pPr>
          </w:p>
        </w:tc>
      </w:tr>
      <w:tr w:rsidR="007E3DB2" w:rsidRPr="000277E3" w14:paraId="63226999" w14:textId="77777777" w:rsidTr="00AB5DE2">
        <w:trPr>
          <w:trHeight w:val="284"/>
        </w:trPr>
        <w:tc>
          <w:tcPr>
            <w:tcW w:w="2154" w:type="dxa"/>
            <w:tcBorders>
              <w:bottom w:val="nil"/>
            </w:tcBorders>
            <w:shd w:val="clear" w:color="auto" w:fill="auto"/>
            <w:vAlign w:val="center"/>
          </w:tcPr>
          <w:p w14:paraId="0B996EC4" w14:textId="77777777" w:rsidR="007E3DB2" w:rsidRPr="000277E3" w:rsidRDefault="007E3DB2" w:rsidP="007E3DB2">
            <w:pPr>
              <w:rPr>
                <w:rFonts w:ascii="Arial" w:hAnsi="Arial" w:cs="Arial"/>
                <w:sz w:val="18"/>
                <w:szCs w:val="18"/>
              </w:rPr>
            </w:pPr>
            <w:r>
              <w:rPr>
                <w:rFonts w:ascii="Arial" w:hAnsi="Arial"/>
                <w:sz w:val="18"/>
                <w:szCs w:val="18"/>
              </w:rPr>
              <w:t>USD</w:t>
            </w:r>
          </w:p>
        </w:tc>
        <w:tc>
          <w:tcPr>
            <w:tcW w:w="1134" w:type="dxa"/>
            <w:tcBorders>
              <w:bottom w:val="nil"/>
            </w:tcBorders>
            <w:vAlign w:val="center"/>
          </w:tcPr>
          <w:p w14:paraId="183B089B" w14:textId="77777777" w:rsidR="007E3DB2" w:rsidRPr="000277E3" w:rsidRDefault="007E3DB2" w:rsidP="007E3DB2">
            <w:pPr>
              <w:jc w:val="right"/>
              <w:rPr>
                <w:rFonts w:ascii="Arial" w:hAnsi="Arial" w:cs="Arial"/>
                <w:color w:val="000000"/>
                <w:sz w:val="18"/>
              </w:rPr>
            </w:pPr>
            <w:r>
              <w:rPr>
                <w:rFonts w:ascii="Arial" w:hAnsi="Arial"/>
                <w:color w:val="000000"/>
                <w:sz w:val="18"/>
              </w:rPr>
              <w:t>0,8851</w:t>
            </w:r>
          </w:p>
        </w:tc>
        <w:tc>
          <w:tcPr>
            <w:tcW w:w="1134" w:type="dxa"/>
            <w:tcBorders>
              <w:bottom w:val="nil"/>
            </w:tcBorders>
            <w:vAlign w:val="center"/>
          </w:tcPr>
          <w:p w14:paraId="2BC5ED03" w14:textId="77777777" w:rsidR="007E3DB2" w:rsidRPr="000277E3" w:rsidRDefault="007E3DB2" w:rsidP="007E3DB2">
            <w:pPr>
              <w:jc w:val="right"/>
              <w:rPr>
                <w:rFonts w:ascii="Arial" w:hAnsi="Arial" w:cs="Arial"/>
                <w:color w:val="000000"/>
                <w:sz w:val="18"/>
              </w:rPr>
            </w:pPr>
            <w:r>
              <w:rPr>
                <w:rFonts w:ascii="Arial" w:hAnsi="Arial"/>
                <w:color w:val="000000"/>
                <w:sz w:val="18"/>
              </w:rPr>
              <w:t>0,8262</w:t>
            </w:r>
          </w:p>
        </w:tc>
      </w:tr>
      <w:tr w:rsidR="007E3DB2" w:rsidRPr="000277E3" w14:paraId="2FF58116" w14:textId="77777777" w:rsidTr="00AB5DE2">
        <w:trPr>
          <w:trHeight w:val="284"/>
        </w:trPr>
        <w:tc>
          <w:tcPr>
            <w:tcW w:w="2154" w:type="dxa"/>
            <w:tcBorders>
              <w:top w:val="nil"/>
              <w:bottom w:val="nil"/>
            </w:tcBorders>
            <w:shd w:val="clear" w:color="auto" w:fill="auto"/>
            <w:vAlign w:val="center"/>
          </w:tcPr>
          <w:p w14:paraId="3A3A06CC" w14:textId="77777777" w:rsidR="007E3DB2" w:rsidRPr="000277E3" w:rsidRDefault="007E3DB2" w:rsidP="007E3DB2">
            <w:pPr>
              <w:rPr>
                <w:rFonts w:ascii="Arial" w:hAnsi="Arial" w:cs="Arial"/>
                <w:sz w:val="18"/>
                <w:szCs w:val="18"/>
              </w:rPr>
            </w:pPr>
            <w:r>
              <w:rPr>
                <w:rFonts w:ascii="Arial" w:hAnsi="Arial"/>
                <w:sz w:val="18"/>
                <w:szCs w:val="18"/>
              </w:rPr>
              <w:t>HKD</w:t>
            </w:r>
          </w:p>
        </w:tc>
        <w:tc>
          <w:tcPr>
            <w:tcW w:w="1134" w:type="dxa"/>
            <w:tcBorders>
              <w:top w:val="nil"/>
              <w:bottom w:val="nil"/>
            </w:tcBorders>
            <w:vAlign w:val="center"/>
          </w:tcPr>
          <w:p w14:paraId="5F238F62" w14:textId="77777777" w:rsidR="007E3DB2" w:rsidRPr="000277E3" w:rsidRDefault="007E3DB2" w:rsidP="007E3DB2">
            <w:pPr>
              <w:jc w:val="right"/>
              <w:rPr>
                <w:rFonts w:ascii="Arial" w:hAnsi="Arial" w:cs="Arial"/>
                <w:color w:val="000000"/>
                <w:sz w:val="18"/>
              </w:rPr>
            </w:pPr>
            <w:r>
              <w:rPr>
                <w:rFonts w:ascii="Arial" w:hAnsi="Arial"/>
                <w:color w:val="000000"/>
                <w:sz w:val="18"/>
              </w:rPr>
              <w:t>0,1129</w:t>
            </w:r>
          </w:p>
        </w:tc>
        <w:tc>
          <w:tcPr>
            <w:tcW w:w="1134" w:type="dxa"/>
            <w:tcBorders>
              <w:top w:val="nil"/>
              <w:bottom w:val="nil"/>
            </w:tcBorders>
            <w:vAlign w:val="center"/>
          </w:tcPr>
          <w:p w14:paraId="7240832E" w14:textId="77777777" w:rsidR="007E3DB2" w:rsidRPr="000277E3" w:rsidRDefault="007E3DB2" w:rsidP="007E3DB2">
            <w:pPr>
              <w:jc w:val="right"/>
              <w:rPr>
                <w:rFonts w:ascii="Arial" w:hAnsi="Arial" w:cs="Arial"/>
                <w:color w:val="000000"/>
                <w:sz w:val="18"/>
              </w:rPr>
            </w:pPr>
            <w:r>
              <w:rPr>
                <w:rFonts w:ascii="Arial" w:hAnsi="Arial"/>
                <w:color w:val="000000"/>
                <w:sz w:val="18"/>
              </w:rPr>
              <w:t>0,1054</w:t>
            </w:r>
          </w:p>
        </w:tc>
      </w:tr>
      <w:tr w:rsidR="007E3DB2" w:rsidRPr="000277E3" w14:paraId="38396B04" w14:textId="77777777" w:rsidTr="00A33C9C">
        <w:trPr>
          <w:trHeight w:val="284"/>
        </w:trPr>
        <w:tc>
          <w:tcPr>
            <w:tcW w:w="2154" w:type="dxa"/>
            <w:tcBorders>
              <w:top w:val="nil"/>
              <w:bottom w:val="nil"/>
            </w:tcBorders>
            <w:shd w:val="clear" w:color="auto" w:fill="auto"/>
            <w:vAlign w:val="center"/>
          </w:tcPr>
          <w:p w14:paraId="7865E8C1" w14:textId="77777777" w:rsidR="007E3DB2" w:rsidRPr="000277E3" w:rsidRDefault="007E3DB2" w:rsidP="007E3DB2">
            <w:pPr>
              <w:rPr>
                <w:rFonts w:ascii="Arial" w:hAnsi="Arial" w:cs="Arial"/>
                <w:sz w:val="18"/>
                <w:szCs w:val="18"/>
              </w:rPr>
            </w:pPr>
            <w:r>
              <w:rPr>
                <w:rFonts w:ascii="Arial" w:hAnsi="Arial"/>
                <w:sz w:val="18"/>
                <w:szCs w:val="18"/>
              </w:rPr>
              <w:t>UAE</w:t>
            </w:r>
          </w:p>
        </w:tc>
        <w:tc>
          <w:tcPr>
            <w:tcW w:w="1134" w:type="dxa"/>
            <w:tcBorders>
              <w:top w:val="nil"/>
              <w:bottom w:val="nil"/>
            </w:tcBorders>
            <w:vAlign w:val="center"/>
          </w:tcPr>
          <w:p w14:paraId="789F240E" w14:textId="77777777" w:rsidR="007E3DB2" w:rsidRPr="000277E3" w:rsidRDefault="007E3DB2" w:rsidP="007E3DB2">
            <w:pPr>
              <w:jc w:val="right"/>
              <w:rPr>
                <w:rFonts w:ascii="Arial" w:hAnsi="Arial" w:cs="Arial"/>
                <w:color w:val="000000"/>
                <w:sz w:val="18"/>
              </w:rPr>
            </w:pPr>
            <w:r>
              <w:rPr>
                <w:rFonts w:ascii="Arial" w:hAnsi="Arial"/>
                <w:color w:val="000000"/>
                <w:sz w:val="18"/>
              </w:rPr>
              <w:t>0,2410</w:t>
            </w:r>
          </w:p>
        </w:tc>
        <w:tc>
          <w:tcPr>
            <w:tcW w:w="1134" w:type="dxa"/>
            <w:tcBorders>
              <w:top w:val="nil"/>
              <w:bottom w:val="nil"/>
            </w:tcBorders>
            <w:vAlign w:val="center"/>
          </w:tcPr>
          <w:p w14:paraId="0C371551" w14:textId="77777777" w:rsidR="007E3DB2" w:rsidRPr="000277E3" w:rsidRDefault="007E3DB2" w:rsidP="007E3DB2">
            <w:pPr>
              <w:jc w:val="right"/>
              <w:rPr>
                <w:rFonts w:ascii="Arial" w:hAnsi="Arial" w:cs="Arial"/>
                <w:color w:val="000000"/>
                <w:sz w:val="18"/>
              </w:rPr>
            </w:pPr>
            <w:r>
              <w:rPr>
                <w:rFonts w:ascii="Arial" w:hAnsi="Arial"/>
                <w:color w:val="000000"/>
                <w:sz w:val="18"/>
              </w:rPr>
              <w:t>0,2248</w:t>
            </w:r>
          </w:p>
        </w:tc>
      </w:tr>
      <w:tr w:rsidR="007E3DB2" w:rsidRPr="000277E3" w14:paraId="4ACC6FD2" w14:textId="77777777" w:rsidTr="00AB5DE2">
        <w:trPr>
          <w:trHeight w:val="284"/>
        </w:trPr>
        <w:tc>
          <w:tcPr>
            <w:tcW w:w="2154" w:type="dxa"/>
            <w:tcBorders>
              <w:top w:val="nil"/>
              <w:bottom w:val="nil"/>
            </w:tcBorders>
            <w:shd w:val="clear" w:color="auto" w:fill="auto"/>
            <w:vAlign w:val="center"/>
          </w:tcPr>
          <w:p w14:paraId="0DCB40D6" w14:textId="77777777" w:rsidR="007E3DB2" w:rsidRPr="000277E3" w:rsidRDefault="007E3DB2" w:rsidP="007E3DB2">
            <w:pPr>
              <w:rPr>
                <w:rFonts w:ascii="Arial" w:hAnsi="Arial" w:cs="Arial"/>
                <w:sz w:val="18"/>
                <w:szCs w:val="18"/>
              </w:rPr>
            </w:pPr>
            <w:r>
              <w:rPr>
                <w:rFonts w:ascii="Arial" w:hAnsi="Arial"/>
                <w:sz w:val="18"/>
                <w:szCs w:val="18"/>
              </w:rPr>
              <w:t>GBP</w:t>
            </w:r>
          </w:p>
        </w:tc>
        <w:tc>
          <w:tcPr>
            <w:tcW w:w="1134" w:type="dxa"/>
            <w:tcBorders>
              <w:top w:val="nil"/>
              <w:bottom w:val="nil"/>
            </w:tcBorders>
            <w:vAlign w:val="center"/>
          </w:tcPr>
          <w:p w14:paraId="4983170D" w14:textId="77777777" w:rsidR="007E3DB2" w:rsidRPr="000277E3" w:rsidRDefault="007E3DB2" w:rsidP="007E3DB2">
            <w:pPr>
              <w:jc w:val="right"/>
              <w:rPr>
                <w:rFonts w:ascii="Arial" w:hAnsi="Arial" w:cs="Arial"/>
                <w:color w:val="000000"/>
                <w:sz w:val="18"/>
              </w:rPr>
            </w:pPr>
            <w:r>
              <w:rPr>
                <w:rFonts w:ascii="Arial" w:hAnsi="Arial"/>
                <w:color w:val="000000"/>
                <w:sz w:val="18"/>
              </w:rPr>
              <w:t>1,1446</w:t>
            </w:r>
          </w:p>
        </w:tc>
        <w:tc>
          <w:tcPr>
            <w:tcW w:w="1134" w:type="dxa"/>
            <w:tcBorders>
              <w:top w:val="nil"/>
              <w:bottom w:val="nil"/>
            </w:tcBorders>
            <w:vAlign w:val="center"/>
          </w:tcPr>
          <w:p w14:paraId="4518283C" w14:textId="77777777" w:rsidR="007E3DB2" w:rsidRPr="000277E3" w:rsidRDefault="007E3DB2" w:rsidP="007E3DB2">
            <w:pPr>
              <w:jc w:val="right"/>
              <w:rPr>
                <w:rFonts w:ascii="Arial" w:hAnsi="Arial" w:cs="Arial"/>
                <w:color w:val="000000"/>
                <w:sz w:val="18"/>
              </w:rPr>
            </w:pPr>
            <w:r>
              <w:rPr>
                <w:rFonts w:ascii="Arial" w:hAnsi="Arial"/>
                <w:color w:val="000000"/>
                <w:sz w:val="18"/>
              </w:rPr>
              <w:t>1,1367</w:t>
            </w:r>
          </w:p>
        </w:tc>
      </w:tr>
      <w:tr w:rsidR="007E3DB2" w:rsidRPr="000277E3" w14:paraId="113EAF7A" w14:textId="77777777" w:rsidTr="00AB5DE2">
        <w:trPr>
          <w:trHeight w:val="284"/>
        </w:trPr>
        <w:tc>
          <w:tcPr>
            <w:tcW w:w="2154" w:type="dxa"/>
            <w:tcBorders>
              <w:top w:val="nil"/>
              <w:bottom w:val="single" w:sz="4" w:space="0" w:color="auto"/>
            </w:tcBorders>
            <w:shd w:val="clear" w:color="auto" w:fill="auto"/>
            <w:vAlign w:val="center"/>
          </w:tcPr>
          <w:p w14:paraId="1FEAA5F4" w14:textId="77777777" w:rsidR="007E3DB2" w:rsidRPr="000277E3" w:rsidRDefault="007E3DB2" w:rsidP="007E3DB2">
            <w:pPr>
              <w:rPr>
                <w:rFonts w:ascii="Arial" w:hAnsi="Arial" w:cs="Arial"/>
                <w:sz w:val="18"/>
                <w:szCs w:val="18"/>
              </w:rPr>
            </w:pPr>
            <w:r>
              <w:rPr>
                <w:rFonts w:ascii="Arial" w:hAnsi="Arial"/>
                <w:sz w:val="18"/>
                <w:szCs w:val="18"/>
              </w:rPr>
              <w:t>BRL</w:t>
            </w:r>
          </w:p>
        </w:tc>
        <w:tc>
          <w:tcPr>
            <w:tcW w:w="1134" w:type="dxa"/>
            <w:tcBorders>
              <w:top w:val="nil"/>
              <w:bottom w:val="single" w:sz="4" w:space="0" w:color="auto"/>
            </w:tcBorders>
            <w:vAlign w:val="center"/>
          </w:tcPr>
          <w:p w14:paraId="07ED533E" w14:textId="77777777" w:rsidR="007E3DB2" w:rsidRPr="000277E3" w:rsidRDefault="007E3DB2" w:rsidP="007E3DB2">
            <w:pPr>
              <w:jc w:val="right"/>
              <w:rPr>
                <w:rFonts w:ascii="Arial" w:hAnsi="Arial" w:cs="Arial"/>
                <w:color w:val="000000"/>
                <w:sz w:val="18"/>
              </w:rPr>
            </w:pPr>
            <w:r>
              <w:rPr>
                <w:rFonts w:ascii="Arial" w:hAnsi="Arial"/>
                <w:color w:val="000000"/>
                <w:sz w:val="18"/>
              </w:rPr>
              <w:t>0,2303</w:t>
            </w:r>
          </w:p>
        </w:tc>
        <w:tc>
          <w:tcPr>
            <w:tcW w:w="1134" w:type="dxa"/>
            <w:tcBorders>
              <w:top w:val="nil"/>
              <w:bottom w:val="single" w:sz="4" w:space="0" w:color="auto"/>
            </w:tcBorders>
            <w:vAlign w:val="center"/>
          </w:tcPr>
          <w:p w14:paraId="369F1D95" w14:textId="77777777" w:rsidR="007E3DB2" w:rsidRPr="000277E3" w:rsidRDefault="007E3DB2" w:rsidP="007E3DB2">
            <w:pPr>
              <w:jc w:val="right"/>
              <w:rPr>
                <w:rFonts w:ascii="Arial" w:hAnsi="Arial" w:cs="Arial"/>
                <w:color w:val="000000"/>
                <w:sz w:val="18"/>
              </w:rPr>
            </w:pPr>
            <w:r>
              <w:rPr>
                <w:rFonts w:ascii="Arial" w:hAnsi="Arial"/>
                <w:color w:val="000000"/>
                <w:sz w:val="18"/>
              </w:rPr>
              <w:t>0,2415</w:t>
            </w:r>
          </w:p>
        </w:tc>
      </w:tr>
    </w:tbl>
    <w:p w14:paraId="2CDEA6B3" w14:textId="77777777" w:rsidR="000F1209" w:rsidRPr="000277E3" w:rsidRDefault="000F1209" w:rsidP="000F1209">
      <w:pPr>
        <w:pStyle w:val="Corpotesto"/>
        <w:ind w:left="1134"/>
        <w:rPr>
          <w:rFonts w:cs="Arial"/>
          <w:sz w:val="18"/>
          <w:szCs w:val="18"/>
          <w:lang w:val="fr-FR"/>
        </w:rPr>
      </w:pPr>
    </w:p>
    <w:p w14:paraId="74ADF086" w14:textId="77777777" w:rsidR="00C328AF" w:rsidRPr="000277E3" w:rsidRDefault="00C328AF" w:rsidP="004A7D50">
      <w:pPr>
        <w:pStyle w:val="Corpotesto"/>
        <w:ind w:left="1134"/>
        <w:rPr>
          <w:rFonts w:cs="Arial"/>
          <w:sz w:val="18"/>
          <w:szCs w:val="19"/>
        </w:rPr>
      </w:pPr>
      <w:r>
        <w:br w:type="page"/>
      </w:r>
    </w:p>
    <w:p w14:paraId="4FF13A2B" w14:textId="77777777" w:rsidR="000264C0" w:rsidRPr="000277E3" w:rsidRDefault="00A34000" w:rsidP="004858CF">
      <w:pPr>
        <w:pBdr>
          <w:top w:val="single" w:sz="4" w:space="0" w:color="auto" w:shadow="1"/>
          <w:left w:val="single" w:sz="4" w:space="1" w:color="auto" w:shadow="1"/>
          <w:bottom w:val="single" w:sz="4" w:space="1" w:color="auto" w:shadow="1"/>
          <w:right w:val="single" w:sz="4" w:space="4" w:color="auto" w:shadow="1"/>
        </w:pBdr>
        <w:ind w:left="1134"/>
        <w:jc w:val="center"/>
        <w:outlineLvl w:val="0"/>
        <w:rPr>
          <w:rFonts w:ascii="Arial" w:eastAsia="Times New Roman" w:hAnsi="Arial" w:cs="Arial"/>
          <w:b/>
          <w:bCs/>
          <w:color w:val="000000"/>
          <w:sz w:val="18"/>
          <w:szCs w:val="18"/>
        </w:rPr>
      </w:pPr>
      <w:r>
        <w:rPr>
          <w:rFonts w:ascii="Arial" w:hAnsi="Arial"/>
          <w:b/>
          <w:bCs/>
          <w:color w:val="000000"/>
          <w:sz w:val="18"/>
          <w:szCs w:val="18"/>
        </w:rPr>
        <w:t>Prossime informative:</w:t>
      </w:r>
    </w:p>
    <w:p w14:paraId="74515644" w14:textId="7A4DB9FE" w:rsidR="00A33C9C" w:rsidRPr="000277E3" w:rsidRDefault="00A33C9C" w:rsidP="00A33C9C">
      <w:pPr>
        <w:pBdr>
          <w:top w:val="single" w:sz="4" w:space="0" w:color="auto" w:shadow="1"/>
          <w:left w:val="single" w:sz="4" w:space="1" w:color="auto" w:shadow="1"/>
          <w:bottom w:val="single" w:sz="4" w:space="1" w:color="auto" w:shadow="1"/>
          <w:right w:val="single" w:sz="4" w:space="4" w:color="auto" w:shadow="1"/>
        </w:pBdr>
        <w:ind w:left="1134"/>
        <w:jc w:val="center"/>
        <w:rPr>
          <w:rFonts w:ascii="Arial" w:eastAsia="Times New Roman" w:hAnsi="Arial" w:cs="Arial"/>
          <w:bCs/>
          <w:color w:val="000000"/>
          <w:sz w:val="18"/>
          <w:szCs w:val="18"/>
        </w:rPr>
      </w:pPr>
      <w:r>
        <w:rPr>
          <w:rFonts w:ascii="Arial" w:hAnsi="Arial"/>
          <w:bCs/>
          <w:color w:val="000000"/>
          <w:sz w:val="18"/>
          <w:szCs w:val="18"/>
        </w:rPr>
        <w:t xml:space="preserve">Fatturato del 3 trimestre 2019: 7 novembre 2019 (dopo </w:t>
      </w:r>
      <w:r w:rsidR="000D6E27">
        <w:rPr>
          <w:rFonts w:ascii="Arial" w:hAnsi="Arial"/>
          <w:bCs/>
          <w:color w:val="000000"/>
          <w:sz w:val="18"/>
          <w:szCs w:val="18"/>
        </w:rPr>
        <w:t>l’apertura del mercato</w:t>
      </w:r>
      <w:r>
        <w:rPr>
          <w:rFonts w:ascii="Arial" w:hAnsi="Arial"/>
          <w:bCs/>
          <w:color w:val="000000"/>
          <w:sz w:val="18"/>
          <w:szCs w:val="18"/>
        </w:rPr>
        <w:t>)</w:t>
      </w:r>
    </w:p>
    <w:p w14:paraId="6F6755F4" w14:textId="77777777" w:rsidR="000264C0" w:rsidRPr="00D14232" w:rsidRDefault="000264C0" w:rsidP="004858CF">
      <w:pPr>
        <w:ind w:left="1134"/>
        <w:jc w:val="both"/>
        <w:rPr>
          <w:rFonts w:ascii="Arial" w:hAnsi="Arial" w:cs="Arial"/>
          <w:sz w:val="18"/>
          <w:szCs w:val="19"/>
        </w:rPr>
      </w:pPr>
    </w:p>
    <w:p w14:paraId="6A59572B" w14:textId="77777777" w:rsidR="00DD5409" w:rsidRPr="00D14232" w:rsidRDefault="00DD5409" w:rsidP="004858CF">
      <w:pPr>
        <w:ind w:left="1134"/>
        <w:jc w:val="both"/>
        <w:rPr>
          <w:rFonts w:ascii="Arial" w:hAnsi="Arial" w:cs="Arial"/>
          <w:sz w:val="18"/>
          <w:szCs w:val="19"/>
        </w:rPr>
      </w:pPr>
    </w:p>
    <w:p w14:paraId="0071EB42" w14:textId="77777777" w:rsidR="00745405" w:rsidRPr="000277E3" w:rsidRDefault="00745405" w:rsidP="004858CF">
      <w:pPr>
        <w:ind w:left="1134"/>
        <w:jc w:val="both"/>
        <w:rPr>
          <w:rFonts w:ascii="Arial" w:eastAsia="PMingLiU" w:hAnsi="Arial" w:cs="Arial"/>
          <w:b/>
          <w:sz w:val="18"/>
          <w:szCs w:val="18"/>
        </w:rPr>
      </w:pPr>
      <w:r>
        <w:rPr>
          <w:rFonts w:ascii="Arial" w:hAnsi="Arial"/>
          <w:b/>
          <w:sz w:val="18"/>
          <w:szCs w:val="18"/>
        </w:rPr>
        <w:t>Cifre chiave di JCDecaux</w:t>
      </w:r>
    </w:p>
    <w:p w14:paraId="2D5B0643" w14:textId="2A47DD11" w:rsidR="00745405" w:rsidRPr="000277E3" w:rsidRDefault="00745405" w:rsidP="004858CF">
      <w:pPr>
        <w:numPr>
          <w:ilvl w:val="0"/>
          <w:numId w:val="14"/>
        </w:numPr>
        <w:ind w:left="1560"/>
        <w:jc w:val="both"/>
        <w:rPr>
          <w:rFonts w:ascii="Arial" w:hAnsi="Arial" w:cs="Arial"/>
          <w:i/>
          <w:sz w:val="18"/>
          <w:szCs w:val="18"/>
        </w:rPr>
      </w:pPr>
      <w:r>
        <w:rPr>
          <w:rFonts w:ascii="Arial" w:hAnsi="Arial"/>
          <w:i/>
          <w:sz w:val="18"/>
          <w:szCs w:val="18"/>
        </w:rPr>
        <w:t>Fatturato 2018: 3.619m€, Fatturato del 1° semestre 2019: 1.842,3m€</w:t>
      </w:r>
    </w:p>
    <w:p w14:paraId="180C1687" w14:textId="77777777" w:rsidR="00C81C7E" w:rsidRPr="000277E3" w:rsidRDefault="00C81C7E" w:rsidP="00C81C7E">
      <w:pPr>
        <w:numPr>
          <w:ilvl w:val="0"/>
          <w:numId w:val="14"/>
        </w:numPr>
        <w:ind w:left="1560"/>
        <w:jc w:val="both"/>
        <w:rPr>
          <w:rFonts w:ascii="Arial" w:hAnsi="Arial" w:cs="Arial"/>
          <w:i/>
          <w:sz w:val="18"/>
          <w:szCs w:val="18"/>
        </w:rPr>
      </w:pPr>
      <w:r>
        <w:rPr>
          <w:rFonts w:ascii="Arial" w:hAnsi="Arial"/>
          <w:i/>
          <w:sz w:val="18"/>
          <w:szCs w:val="18"/>
        </w:rPr>
        <w:t>JCDecaux è quotata sull’Eurolist di Euronext Paris e fa parte degli indici Euronext 100 e Euronext Family Business</w:t>
      </w:r>
    </w:p>
    <w:p w14:paraId="22C90463" w14:textId="21F8A859" w:rsidR="00C81C7E" w:rsidRPr="000277E3" w:rsidRDefault="00C81C7E" w:rsidP="00C81C7E">
      <w:pPr>
        <w:numPr>
          <w:ilvl w:val="0"/>
          <w:numId w:val="14"/>
        </w:numPr>
        <w:ind w:left="1560"/>
        <w:jc w:val="both"/>
        <w:rPr>
          <w:rFonts w:ascii="Arial" w:hAnsi="Arial" w:cs="Arial"/>
          <w:i/>
          <w:sz w:val="18"/>
          <w:szCs w:val="18"/>
        </w:rPr>
      </w:pPr>
      <w:r>
        <w:rPr>
          <w:rFonts w:ascii="Arial" w:hAnsi="Arial"/>
          <w:i/>
          <w:sz w:val="18"/>
          <w:szCs w:val="18"/>
        </w:rPr>
        <w:t>JCDecaux è presente nell'indice FTSE4Good e nelle classifiche MSCI e CDP</w:t>
      </w:r>
    </w:p>
    <w:p w14:paraId="14BA02CD" w14:textId="77777777" w:rsidR="00C81C7E" w:rsidRPr="000277E3" w:rsidRDefault="00C81C7E" w:rsidP="00C81C7E">
      <w:pPr>
        <w:numPr>
          <w:ilvl w:val="0"/>
          <w:numId w:val="14"/>
        </w:numPr>
        <w:ind w:left="1560"/>
        <w:jc w:val="both"/>
        <w:rPr>
          <w:rFonts w:ascii="Arial" w:hAnsi="Arial" w:cs="Arial"/>
          <w:i/>
          <w:sz w:val="18"/>
          <w:szCs w:val="18"/>
        </w:rPr>
      </w:pPr>
      <w:r>
        <w:rPr>
          <w:rFonts w:ascii="Arial" w:hAnsi="Arial"/>
          <w:i/>
          <w:sz w:val="18"/>
          <w:szCs w:val="18"/>
        </w:rPr>
        <w:t>N°1 mondiale dell'arredo urbano (528.660 facce pubblicitarie)</w:t>
      </w:r>
    </w:p>
    <w:p w14:paraId="3F0A307A" w14:textId="5B5F29A2" w:rsidR="00C81C7E" w:rsidRPr="000277E3" w:rsidRDefault="00C81C7E" w:rsidP="00C81C7E">
      <w:pPr>
        <w:numPr>
          <w:ilvl w:val="0"/>
          <w:numId w:val="14"/>
        </w:numPr>
        <w:ind w:left="1560"/>
        <w:jc w:val="both"/>
        <w:rPr>
          <w:rFonts w:ascii="Arial" w:hAnsi="Arial" w:cs="Arial"/>
          <w:i/>
          <w:sz w:val="18"/>
          <w:szCs w:val="18"/>
        </w:rPr>
      </w:pPr>
      <w:r>
        <w:rPr>
          <w:rFonts w:ascii="Arial" w:hAnsi="Arial"/>
          <w:i/>
          <w:sz w:val="18"/>
          <w:szCs w:val="18"/>
        </w:rPr>
        <w:t>N°1 mondiale della pubblicità nei trasporti con oltre 210 aeroporti e 277 contratti di trasport</w:t>
      </w:r>
      <w:r w:rsidR="002F32C9">
        <w:rPr>
          <w:rFonts w:ascii="Arial" w:hAnsi="Arial"/>
          <w:i/>
          <w:sz w:val="18"/>
          <w:szCs w:val="18"/>
        </w:rPr>
        <w:t>i</w:t>
      </w:r>
      <w:r>
        <w:rPr>
          <w:rFonts w:ascii="Arial" w:hAnsi="Arial"/>
          <w:i/>
          <w:sz w:val="18"/>
          <w:szCs w:val="18"/>
        </w:rPr>
        <w:t xml:space="preserve"> nelle metropolitane, bus, treni e tram (366.000 facce pubblicitarie)</w:t>
      </w:r>
    </w:p>
    <w:p w14:paraId="04F28AC8" w14:textId="77777777" w:rsidR="00C81C7E" w:rsidRPr="000277E3" w:rsidRDefault="00C81C7E" w:rsidP="00C81C7E">
      <w:pPr>
        <w:numPr>
          <w:ilvl w:val="0"/>
          <w:numId w:val="14"/>
        </w:numPr>
        <w:ind w:left="1560"/>
        <w:jc w:val="both"/>
        <w:rPr>
          <w:rFonts w:ascii="Arial" w:hAnsi="Arial" w:cs="Arial"/>
          <w:i/>
          <w:sz w:val="18"/>
          <w:szCs w:val="18"/>
        </w:rPr>
      </w:pPr>
      <w:r>
        <w:rPr>
          <w:rFonts w:ascii="Arial" w:hAnsi="Arial"/>
          <w:i/>
          <w:sz w:val="18"/>
          <w:szCs w:val="18"/>
        </w:rPr>
        <w:t>N°1 europeo nell'affissione di grande formato (137.020 facce pubblicitarie)</w:t>
      </w:r>
    </w:p>
    <w:p w14:paraId="67C2DD57" w14:textId="77777777" w:rsidR="00C81C7E" w:rsidRPr="000277E3" w:rsidRDefault="00C81C7E" w:rsidP="00C81C7E">
      <w:pPr>
        <w:numPr>
          <w:ilvl w:val="0"/>
          <w:numId w:val="14"/>
        </w:numPr>
        <w:ind w:left="1560"/>
        <w:jc w:val="both"/>
        <w:rPr>
          <w:rFonts w:ascii="Arial" w:hAnsi="Arial" w:cs="Arial"/>
          <w:i/>
          <w:sz w:val="18"/>
          <w:szCs w:val="18"/>
        </w:rPr>
      </w:pPr>
      <w:r>
        <w:rPr>
          <w:rFonts w:ascii="Arial" w:hAnsi="Arial"/>
          <w:i/>
          <w:sz w:val="18"/>
          <w:szCs w:val="18"/>
        </w:rPr>
        <w:t>N°1 della comunicazione esterna in Europa (648.570 facce pubblicitarie)</w:t>
      </w:r>
    </w:p>
    <w:p w14:paraId="39B245C5" w14:textId="77777777" w:rsidR="00C81C7E" w:rsidRPr="000277E3" w:rsidRDefault="00C81C7E" w:rsidP="00C81C7E">
      <w:pPr>
        <w:numPr>
          <w:ilvl w:val="0"/>
          <w:numId w:val="14"/>
        </w:numPr>
        <w:ind w:left="1560"/>
        <w:jc w:val="both"/>
        <w:rPr>
          <w:rFonts w:ascii="Arial" w:hAnsi="Arial" w:cs="Arial"/>
          <w:i/>
          <w:sz w:val="18"/>
          <w:szCs w:val="18"/>
        </w:rPr>
      </w:pPr>
      <w:r>
        <w:rPr>
          <w:rFonts w:ascii="Arial" w:hAnsi="Arial"/>
          <w:i/>
          <w:sz w:val="18"/>
          <w:szCs w:val="18"/>
        </w:rPr>
        <w:t>N°1 della comunicazione esterna in Asia-Pacifico (239.300 facce pubblicitarie)</w:t>
      </w:r>
    </w:p>
    <w:p w14:paraId="072B7761" w14:textId="77777777" w:rsidR="00C81C7E" w:rsidRPr="000277E3" w:rsidRDefault="00C81C7E" w:rsidP="00C81C7E">
      <w:pPr>
        <w:numPr>
          <w:ilvl w:val="0"/>
          <w:numId w:val="14"/>
        </w:numPr>
        <w:ind w:left="1560"/>
        <w:jc w:val="both"/>
        <w:rPr>
          <w:rFonts w:ascii="Arial" w:hAnsi="Arial" w:cs="Arial"/>
          <w:i/>
          <w:sz w:val="18"/>
          <w:szCs w:val="18"/>
        </w:rPr>
      </w:pPr>
      <w:r>
        <w:rPr>
          <w:rFonts w:ascii="Arial" w:hAnsi="Arial"/>
          <w:i/>
          <w:sz w:val="18"/>
          <w:szCs w:val="18"/>
        </w:rPr>
        <w:t>N°1 della comunicazione esterna in America Latina (72.880 facce pubblicitarie)</w:t>
      </w:r>
    </w:p>
    <w:p w14:paraId="298F6B6D" w14:textId="77777777" w:rsidR="00C81C7E" w:rsidRPr="000277E3" w:rsidRDefault="00C81C7E" w:rsidP="00C81C7E">
      <w:pPr>
        <w:numPr>
          <w:ilvl w:val="0"/>
          <w:numId w:val="14"/>
        </w:numPr>
        <w:ind w:left="1560"/>
        <w:jc w:val="both"/>
        <w:rPr>
          <w:rFonts w:ascii="Arial" w:hAnsi="Arial" w:cs="Arial"/>
          <w:i/>
          <w:sz w:val="18"/>
          <w:szCs w:val="18"/>
        </w:rPr>
      </w:pPr>
      <w:r>
        <w:rPr>
          <w:rFonts w:ascii="Arial" w:hAnsi="Arial"/>
          <w:i/>
          <w:sz w:val="18"/>
          <w:szCs w:val="18"/>
        </w:rPr>
        <w:t>N°1 della comunicazione esterna in Africa (24.170 facce pubblicitarie)</w:t>
      </w:r>
    </w:p>
    <w:p w14:paraId="7E190E5C" w14:textId="77777777" w:rsidR="00C81C7E" w:rsidRPr="000277E3" w:rsidRDefault="00C81C7E" w:rsidP="00C81C7E">
      <w:pPr>
        <w:numPr>
          <w:ilvl w:val="0"/>
          <w:numId w:val="14"/>
        </w:numPr>
        <w:ind w:left="1560"/>
        <w:jc w:val="both"/>
        <w:rPr>
          <w:rFonts w:ascii="Arial" w:hAnsi="Arial" w:cs="Arial"/>
          <w:i/>
          <w:sz w:val="18"/>
          <w:szCs w:val="18"/>
        </w:rPr>
      </w:pPr>
      <w:r>
        <w:rPr>
          <w:rFonts w:ascii="Arial" w:hAnsi="Arial"/>
          <w:i/>
          <w:sz w:val="18"/>
          <w:szCs w:val="18"/>
        </w:rPr>
        <w:t>N°1 della comunicazione esterna in Medio Oriente (16.450 facce pubblicitarie)</w:t>
      </w:r>
    </w:p>
    <w:p w14:paraId="2248D07E" w14:textId="77777777" w:rsidR="00C81C7E" w:rsidRPr="000277E3" w:rsidRDefault="00C81C7E" w:rsidP="00C81C7E">
      <w:pPr>
        <w:numPr>
          <w:ilvl w:val="0"/>
          <w:numId w:val="14"/>
        </w:numPr>
        <w:ind w:left="1560"/>
        <w:jc w:val="both"/>
        <w:rPr>
          <w:rFonts w:ascii="Arial" w:hAnsi="Arial" w:cs="Arial"/>
          <w:i/>
          <w:sz w:val="18"/>
          <w:szCs w:val="18"/>
        </w:rPr>
      </w:pPr>
      <w:r>
        <w:rPr>
          <w:rFonts w:ascii="Arial" w:hAnsi="Arial"/>
          <w:i/>
          <w:sz w:val="18"/>
          <w:szCs w:val="18"/>
        </w:rPr>
        <w:t>Leader nel bike sharing: pioniere della mobilità sostenibile</w:t>
      </w:r>
    </w:p>
    <w:p w14:paraId="5E7328FE" w14:textId="77777777" w:rsidR="00C81C7E" w:rsidRPr="000277E3" w:rsidRDefault="00C81C7E" w:rsidP="00C81C7E">
      <w:pPr>
        <w:numPr>
          <w:ilvl w:val="0"/>
          <w:numId w:val="14"/>
        </w:numPr>
        <w:ind w:left="1560"/>
        <w:jc w:val="both"/>
        <w:rPr>
          <w:rFonts w:ascii="Arial" w:hAnsi="Arial" w:cs="Arial"/>
          <w:i/>
          <w:sz w:val="18"/>
          <w:szCs w:val="18"/>
        </w:rPr>
      </w:pPr>
      <w:r>
        <w:rPr>
          <w:rFonts w:ascii="Arial" w:hAnsi="Arial"/>
          <w:i/>
          <w:sz w:val="18"/>
          <w:szCs w:val="18"/>
        </w:rPr>
        <w:t>1.061.200 supporti pubblicitari in oltre 80 paesi</w:t>
      </w:r>
    </w:p>
    <w:p w14:paraId="02F89376" w14:textId="77777777" w:rsidR="00C81C7E" w:rsidRPr="000277E3" w:rsidRDefault="00C81C7E" w:rsidP="00C81C7E">
      <w:pPr>
        <w:numPr>
          <w:ilvl w:val="0"/>
          <w:numId w:val="14"/>
        </w:numPr>
        <w:ind w:left="1560"/>
        <w:jc w:val="both"/>
        <w:rPr>
          <w:rFonts w:ascii="Arial" w:hAnsi="Arial" w:cs="Arial"/>
          <w:i/>
          <w:sz w:val="18"/>
          <w:szCs w:val="18"/>
        </w:rPr>
      </w:pPr>
      <w:r>
        <w:rPr>
          <w:rFonts w:ascii="Arial" w:hAnsi="Arial"/>
          <w:i/>
          <w:sz w:val="18"/>
          <w:szCs w:val="18"/>
        </w:rPr>
        <w:t>Una presenza in 4.030 città con oltre 10.000 abitanti</w:t>
      </w:r>
    </w:p>
    <w:p w14:paraId="153DBAA9" w14:textId="77777777" w:rsidR="00C81C7E" w:rsidRPr="000277E3" w:rsidRDefault="00C81C7E" w:rsidP="00C81C7E">
      <w:pPr>
        <w:numPr>
          <w:ilvl w:val="0"/>
          <w:numId w:val="14"/>
        </w:numPr>
        <w:ind w:left="1560"/>
        <w:jc w:val="both"/>
        <w:rPr>
          <w:rFonts w:ascii="Arial" w:hAnsi="Arial" w:cs="Arial"/>
          <w:i/>
          <w:sz w:val="18"/>
          <w:szCs w:val="18"/>
        </w:rPr>
      </w:pPr>
      <w:r>
        <w:rPr>
          <w:rFonts w:ascii="Arial" w:hAnsi="Arial"/>
          <w:i/>
          <w:sz w:val="18"/>
          <w:szCs w:val="18"/>
        </w:rPr>
        <w:t>13.030 collaboratori</w:t>
      </w:r>
    </w:p>
    <w:p w14:paraId="7C2E9FFD" w14:textId="77777777" w:rsidR="003E32B2" w:rsidRPr="000277E3" w:rsidRDefault="003E32B2" w:rsidP="004858CF">
      <w:pPr>
        <w:ind w:left="1134"/>
        <w:jc w:val="both"/>
        <w:rPr>
          <w:rFonts w:ascii="Arial" w:eastAsia="PMingLiU" w:hAnsi="Arial" w:cs="Arial"/>
          <w:sz w:val="18"/>
          <w:szCs w:val="18"/>
          <w:lang w:val="fr-FR" w:eastAsia="fr-FR" w:bidi="fr-FR"/>
        </w:rPr>
      </w:pPr>
    </w:p>
    <w:p w14:paraId="23BC9F67" w14:textId="77777777" w:rsidR="00745405" w:rsidRPr="000277E3" w:rsidRDefault="00745405" w:rsidP="004858CF">
      <w:pPr>
        <w:ind w:left="1134"/>
        <w:jc w:val="both"/>
        <w:rPr>
          <w:rFonts w:ascii="Arial" w:eastAsia="PMingLiU" w:hAnsi="Arial" w:cs="Arial"/>
          <w:sz w:val="18"/>
          <w:szCs w:val="18"/>
          <w:lang w:val="fr-FR" w:eastAsia="fr-FR" w:bidi="fr-FR"/>
        </w:rPr>
      </w:pPr>
    </w:p>
    <w:p w14:paraId="163BFAE0" w14:textId="77777777" w:rsidR="00745405" w:rsidRPr="000277E3" w:rsidRDefault="00745405" w:rsidP="004858CF">
      <w:pPr>
        <w:ind w:left="1134"/>
        <w:jc w:val="both"/>
        <w:rPr>
          <w:rFonts w:ascii="Arial" w:hAnsi="Arial" w:cs="Arial"/>
          <w:sz w:val="18"/>
          <w:szCs w:val="18"/>
        </w:rPr>
      </w:pPr>
      <w:r>
        <w:rPr>
          <w:rFonts w:ascii="Arial" w:hAnsi="Arial"/>
          <w:b/>
          <w:sz w:val="18"/>
          <w:szCs w:val="18"/>
        </w:rPr>
        <w:t>Dichiarazioni di natura preventiva</w:t>
      </w:r>
    </w:p>
    <w:p w14:paraId="16142FA8" w14:textId="77777777" w:rsidR="00745405" w:rsidRPr="000277E3" w:rsidRDefault="00745405" w:rsidP="004858CF">
      <w:pPr>
        <w:ind w:left="1134"/>
        <w:jc w:val="both"/>
        <w:rPr>
          <w:rFonts w:ascii="Arial" w:hAnsi="Arial" w:cs="Arial"/>
          <w:sz w:val="18"/>
          <w:szCs w:val="18"/>
        </w:rPr>
      </w:pPr>
      <w:r>
        <w:rPr>
          <w:rFonts w:ascii="Arial" w:hAnsi="Arial"/>
          <w:sz w:val="18"/>
          <w:szCs w:val="18"/>
        </w:rPr>
        <w:t>Il presente comunicato può contenere alcune dichiarazioni di natura preventiva. Tali dichiarazioni non costituiscono garanzia della prestazione futura della Società. Sebbene la Società ritenga che tali dichiarazioni siano basate su assunzioni ragionevoli alla data del presente comunicato stampa, esse sono per loro natura soggette a rischi e incertezze, che possono comportare risultati effettivi sostanzialmente diversi da quelli espressi o impliciti in tali dichiarazioni.</w:t>
      </w:r>
    </w:p>
    <w:p w14:paraId="1F74F010" w14:textId="77777777" w:rsidR="00745405" w:rsidRPr="000277E3" w:rsidRDefault="00745405" w:rsidP="004858CF">
      <w:pPr>
        <w:ind w:left="1134"/>
        <w:jc w:val="both"/>
        <w:rPr>
          <w:rFonts w:ascii="Arial" w:hAnsi="Arial" w:cs="Arial"/>
          <w:sz w:val="18"/>
          <w:szCs w:val="18"/>
        </w:rPr>
      </w:pPr>
      <w:r>
        <w:rPr>
          <w:rFonts w:ascii="Arial" w:hAnsi="Arial"/>
          <w:sz w:val="18"/>
          <w:szCs w:val="18"/>
        </w:rPr>
        <w:t>Tali rischi e incertezze comprendono in particolare i rischi descritti nel documento di riferimento depositato dalla Società presso l'Autorité des Marchés Financiers.</w:t>
      </w:r>
    </w:p>
    <w:p w14:paraId="642A59D8" w14:textId="77777777" w:rsidR="00745405" w:rsidRPr="000277E3" w:rsidRDefault="00745405" w:rsidP="004858CF">
      <w:pPr>
        <w:ind w:left="1134"/>
        <w:jc w:val="both"/>
        <w:rPr>
          <w:rFonts w:ascii="Arial" w:hAnsi="Arial" w:cs="Arial"/>
          <w:sz w:val="18"/>
          <w:szCs w:val="18"/>
        </w:rPr>
      </w:pPr>
      <w:r>
        <w:rPr>
          <w:rFonts w:ascii="Arial" w:hAnsi="Arial"/>
          <w:sz w:val="18"/>
          <w:szCs w:val="18"/>
        </w:rPr>
        <w:t xml:space="preserve">Gli investitori e i detentori di valori mobiliari della Società possono richiedere copia del presente documento di riferimento presso l'Autorité des Marchés Financiers sul sito web </w:t>
      </w:r>
      <w:hyperlink r:id="rId41" w:history="1">
        <w:r>
          <w:rPr>
            <w:rStyle w:val="Collegamentoipertestuale"/>
            <w:rFonts w:ascii="Arial" w:hAnsi="Arial"/>
            <w:sz w:val="18"/>
            <w:szCs w:val="18"/>
          </w:rPr>
          <w:t>www.amf</w:t>
        </w:r>
        <w:r>
          <w:rPr>
            <w:rStyle w:val="Collegamentoipertestuale"/>
            <w:rFonts w:ascii="Arial" w:hAnsi="Arial"/>
            <w:sz w:val="18"/>
            <w:szCs w:val="18"/>
          </w:rPr>
          <w:noBreakHyphen/>
          <w:t>france.org</w:t>
        </w:r>
      </w:hyperlink>
      <w:r>
        <w:rPr>
          <w:rFonts w:ascii="Arial" w:hAnsi="Arial"/>
          <w:sz w:val="18"/>
          <w:szCs w:val="18"/>
        </w:rPr>
        <w:t xml:space="preserve"> o direttamente presso la Società sul sito </w:t>
      </w:r>
      <w:hyperlink r:id="rId42" w:history="1">
        <w:r>
          <w:rPr>
            <w:rStyle w:val="Collegamentoipertestuale"/>
            <w:rFonts w:ascii="Arial" w:hAnsi="Arial"/>
            <w:sz w:val="18"/>
            <w:szCs w:val="18"/>
          </w:rPr>
          <w:t>www.jcdecaux.com</w:t>
        </w:r>
      </w:hyperlink>
      <w:r>
        <w:rPr>
          <w:rFonts w:ascii="Arial" w:hAnsi="Arial"/>
          <w:sz w:val="18"/>
          <w:szCs w:val="18"/>
        </w:rPr>
        <w:t>.</w:t>
      </w:r>
    </w:p>
    <w:p w14:paraId="47C5B0F9" w14:textId="77777777" w:rsidR="00745405" w:rsidRPr="000277E3" w:rsidRDefault="00745405" w:rsidP="004858CF">
      <w:pPr>
        <w:ind w:left="1134"/>
        <w:jc w:val="both"/>
        <w:rPr>
          <w:rFonts w:ascii="Arial" w:hAnsi="Arial" w:cs="Arial"/>
          <w:sz w:val="18"/>
          <w:szCs w:val="18"/>
        </w:rPr>
      </w:pPr>
      <w:r>
        <w:rPr>
          <w:rFonts w:ascii="Arial" w:hAnsi="Arial"/>
          <w:sz w:val="18"/>
          <w:szCs w:val="18"/>
        </w:rPr>
        <w:t>La Società non è obbligata e non si impegna ad aggiornare o rivedere le dichiarazioni di natura preventiva.</w:t>
      </w:r>
    </w:p>
    <w:p w14:paraId="062323D1" w14:textId="77777777" w:rsidR="00745405" w:rsidRPr="00D14232" w:rsidRDefault="00745405" w:rsidP="004858CF">
      <w:pPr>
        <w:ind w:left="1134"/>
        <w:jc w:val="both"/>
        <w:rPr>
          <w:rFonts w:ascii="Arial" w:eastAsia="PMingLiU" w:hAnsi="Arial" w:cs="Arial"/>
          <w:sz w:val="18"/>
          <w:szCs w:val="18"/>
          <w:lang w:eastAsia="fr-FR" w:bidi="fr-FR"/>
        </w:rPr>
      </w:pPr>
    </w:p>
    <w:p w14:paraId="0D21B6DC" w14:textId="77777777" w:rsidR="00745405" w:rsidRPr="00D14232" w:rsidRDefault="00745405" w:rsidP="004858CF">
      <w:pPr>
        <w:ind w:left="1134"/>
        <w:jc w:val="both"/>
        <w:rPr>
          <w:rFonts w:ascii="Arial" w:eastAsia="PMingLiU" w:hAnsi="Arial" w:cs="Arial"/>
          <w:sz w:val="18"/>
          <w:szCs w:val="18"/>
          <w:lang w:eastAsia="fr-FR" w:bidi="fr-FR"/>
        </w:rPr>
      </w:pPr>
    </w:p>
    <w:p w14:paraId="6170D6A9" w14:textId="77777777" w:rsidR="00745405" w:rsidRPr="000277E3" w:rsidRDefault="00745405" w:rsidP="004858CF">
      <w:pPr>
        <w:ind w:left="1134"/>
        <w:jc w:val="both"/>
        <w:rPr>
          <w:rFonts w:ascii="Arial" w:hAnsi="Arial" w:cs="Arial"/>
          <w:sz w:val="18"/>
          <w:szCs w:val="18"/>
        </w:rPr>
      </w:pPr>
      <w:r>
        <w:rPr>
          <w:rFonts w:ascii="Arial" w:hAnsi="Arial"/>
          <w:b/>
          <w:sz w:val="18"/>
          <w:szCs w:val="18"/>
        </w:rPr>
        <w:t>Direzione della comunicazione:</w:t>
      </w:r>
      <w:r>
        <w:rPr>
          <w:rFonts w:ascii="Arial" w:hAnsi="Arial"/>
          <w:sz w:val="18"/>
          <w:szCs w:val="18"/>
        </w:rPr>
        <w:t xml:space="preserve"> Agathe Albertini</w:t>
      </w:r>
    </w:p>
    <w:p w14:paraId="40E7E8D6" w14:textId="77777777" w:rsidR="0047364B" w:rsidRPr="000277E3" w:rsidRDefault="00745405" w:rsidP="0047364B">
      <w:pPr>
        <w:spacing w:after="120"/>
        <w:ind w:left="1134"/>
        <w:jc w:val="both"/>
        <w:rPr>
          <w:rFonts w:ascii="Arial" w:eastAsia="PMingLiU" w:hAnsi="Arial" w:cs="Arial"/>
          <w:color w:val="0000FF"/>
          <w:sz w:val="18"/>
          <w:szCs w:val="18"/>
          <w:u w:val="single"/>
        </w:rPr>
      </w:pPr>
      <w:r>
        <w:rPr>
          <w:rFonts w:ascii="Arial" w:hAnsi="Arial"/>
          <w:sz w:val="18"/>
          <w:szCs w:val="18"/>
        </w:rPr>
        <w:t xml:space="preserve">+33 1 30 79 34 99 – </w:t>
      </w:r>
      <w:hyperlink r:id="rId43" w:history="1">
        <w:r>
          <w:rPr>
            <w:rStyle w:val="Collegamentoipertestuale"/>
            <w:rFonts w:ascii="Arial" w:hAnsi="Arial"/>
            <w:sz w:val="18"/>
            <w:szCs w:val="18"/>
          </w:rPr>
          <w:t>agathe.albertini@jcdecaux.com</w:t>
        </w:r>
      </w:hyperlink>
    </w:p>
    <w:p w14:paraId="1BDC329C" w14:textId="77777777" w:rsidR="00745405" w:rsidRPr="000277E3" w:rsidRDefault="00745405" w:rsidP="004858CF">
      <w:pPr>
        <w:ind w:left="1134"/>
        <w:jc w:val="both"/>
        <w:rPr>
          <w:rFonts w:ascii="Arial" w:hAnsi="Arial" w:cs="Arial"/>
          <w:sz w:val="18"/>
          <w:szCs w:val="18"/>
        </w:rPr>
      </w:pPr>
      <w:r>
        <w:rPr>
          <w:rFonts w:ascii="Arial" w:hAnsi="Arial"/>
          <w:b/>
          <w:sz w:val="18"/>
          <w:szCs w:val="18"/>
        </w:rPr>
        <w:t>Relazioni investitori:</w:t>
      </w:r>
      <w:r>
        <w:rPr>
          <w:rFonts w:ascii="Arial" w:hAnsi="Arial"/>
          <w:sz w:val="18"/>
          <w:szCs w:val="18"/>
        </w:rPr>
        <w:t xml:space="preserve"> Arnaud Courtial</w:t>
      </w:r>
    </w:p>
    <w:p w14:paraId="698E4E7B" w14:textId="77777777" w:rsidR="00B014F8" w:rsidRPr="000277E3" w:rsidRDefault="00745405" w:rsidP="004858CF">
      <w:pPr>
        <w:ind w:left="1134"/>
        <w:jc w:val="both"/>
        <w:rPr>
          <w:rStyle w:val="Collegamentoipertestuale"/>
          <w:rFonts w:ascii="Arial" w:hAnsi="Arial" w:cs="Arial"/>
          <w:sz w:val="18"/>
          <w:szCs w:val="18"/>
        </w:rPr>
      </w:pPr>
      <w:r>
        <w:rPr>
          <w:rFonts w:ascii="Arial" w:hAnsi="Arial"/>
          <w:sz w:val="18"/>
          <w:szCs w:val="18"/>
        </w:rPr>
        <w:t xml:space="preserve">+33 1 30 79 79 93 – </w:t>
      </w:r>
      <w:hyperlink r:id="rId44" w:history="1">
        <w:r>
          <w:rPr>
            <w:rStyle w:val="Collegamentoipertestuale"/>
            <w:rFonts w:ascii="Arial" w:hAnsi="Arial"/>
            <w:sz w:val="18"/>
            <w:szCs w:val="18"/>
          </w:rPr>
          <w:t>arnaud.courtial@jcdecaux.com</w:t>
        </w:r>
      </w:hyperlink>
    </w:p>
    <w:p w14:paraId="1365AD49" w14:textId="77777777" w:rsidR="00486DE4" w:rsidRPr="00D14232" w:rsidRDefault="00486DE4" w:rsidP="00486DE4">
      <w:pPr>
        <w:ind w:left="1134"/>
        <w:jc w:val="both"/>
        <w:rPr>
          <w:rFonts w:ascii="Arial" w:hAnsi="Arial" w:cs="Arial"/>
          <w:sz w:val="18"/>
          <w:szCs w:val="18"/>
        </w:rPr>
      </w:pPr>
    </w:p>
    <w:p w14:paraId="3EB592E0" w14:textId="77777777" w:rsidR="00486DE4" w:rsidRPr="000277E3" w:rsidRDefault="00486DE4" w:rsidP="00486DE4">
      <w:pPr>
        <w:ind w:left="1134"/>
        <w:jc w:val="both"/>
        <w:rPr>
          <w:rFonts w:ascii="Arial" w:eastAsia="PMingLiU" w:hAnsi="Arial" w:cs="Arial"/>
          <w:sz w:val="18"/>
          <w:szCs w:val="18"/>
        </w:rPr>
      </w:pPr>
      <w:r>
        <w:br w:type="page"/>
      </w:r>
    </w:p>
    <w:p w14:paraId="56D06E8B" w14:textId="77777777" w:rsidR="00486DE4" w:rsidRPr="000277E3" w:rsidRDefault="00486DE4" w:rsidP="00486DE4">
      <w:pPr>
        <w:jc w:val="center"/>
        <w:rPr>
          <w:rFonts w:ascii="Arial" w:hAnsi="Arial" w:cs="Arial"/>
          <w:b/>
          <w:bCs/>
          <w:sz w:val="18"/>
          <w:szCs w:val="18"/>
          <w:u w:val="single"/>
        </w:rPr>
      </w:pPr>
      <w:r>
        <w:rPr>
          <w:rFonts w:ascii="Arial" w:hAnsi="Arial"/>
          <w:b/>
          <w:bCs/>
          <w:sz w:val="18"/>
          <w:szCs w:val="18"/>
          <w:u w:val="single"/>
        </w:rPr>
        <w:t>RICONCILIAZIONE TRA I DATI RIDETERMINATI E I DATI IFRS</w:t>
      </w:r>
    </w:p>
    <w:p w14:paraId="152DBC2A" w14:textId="77777777" w:rsidR="00486DE4" w:rsidRPr="00D14232" w:rsidRDefault="00486DE4" w:rsidP="00486DE4">
      <w:pPr>
        <w:ind w:left="1418"/>
        <w:jc w:val="both"/>
        <w:rPr>
          <w:rFonts w:ascii="Arial" w:eastAsia="PMingLiU" w:hAnsi="Arial" w:cs="Arial"/>
          <w:sz w:val="18"/>
          <w:szCs w:val="18"/>
          <w:lang w:eastAsia="fr-FR" w:bidi="fr-FR"/>
        </w:rPr>
      </w:pPr>
    </w:p>
    <w:p w14:paraId="16985FCB" w14:textId="77777777" w:rsidR="00486DE4" w:rsidRPr="00D14232" w:rsidRDefault="00486DE4" w:rsidP="00486DE4">
      <w:pPr>
        <w:ind w:left="1418"/>
        <w:jc w:val="both"/>
        <w:rPr>
          <w:rFonts w:ascii="Arial" w:eastAsia="PMingLiU" w:hAnsi="Arial" w:cs="Arial"/>
          <w:sz w:val="18"/>
          <w:szCs w:val="18"/>
          <w:lang w:eastAsia="fr-FR" w:bidi="fr-FR"/>
        </w:rPr>
      </w:pPr>
    </w:p>
    <w:tbl>
      <w:tblPr>
        <w:tblStyle w:val="Grigliatabella"/>
        <w:tblW w:w="10431" w:type="dxa"/>
        <w:tblInd w:w="-567" w:type="dxa"/>
        <w:tblLayout w:type="fixed"/>
        <w:tblLook w:val="04A0" w:firstRow="1" w:lastRow="0" w:firstColumn="1" w:lastColumn="0" w:noHBand="0" w:noVBand="1"/>
      </w:tblPr>
      <w:tblGrid>
        <w:gridCol w:w="2721"/>
        <w:gridCol w:w="251"/>
        <w:gridCol w:w="656"/>
        <w:gridCol w:w="478"/>
        <w:gridCol w:w="542"/>
        <w:gridCol w:w="694"/>
        <w:gridCol w:w="326"/>
        <w:gridCol w:w="761"/>
        <w:gridCol w:w="147"/>
        <w:gridCol w:w="744"/>
        <w:gridCol w:w="163"/>
        <w:gridCol w:w="909"/>
        <w:gridCol w:w="111"/>
        <w:gridCol w:w="976"/>
        <w:gridCol w:w="44"/>
        <w:gridCol w:w="908"/>
      </w:tblGrid>
      <w:tr w:rsidR="00352338" w:rsidRPr="000277E3" w14:paraId="74CD1CAF" w14:textId="77777777" w:rsidTr="003F6782">
        <w:trPr>
          <w:trHeight w:val="412"/>
        </w:trPr>
        <w:tc>
          <w:tcPr>
            <w:tcW w:w="2721" w:type="dxa"/>
            <w:tcBorders>
              <w:top w:val="nil"/>
              <w:left w:val="nil"/>
            </w:tcBorders>
          </w:tcPr>
          <w:p w14:paraId="6E9F9BA0" w14:textId="77777777" w:rsidR="00352338" w:rsidRPr="000277E3" w:rsidRDefault="00352338" w:rsidP="00352338">
            <w:pPr>
              <w:jc w:val="both"/>
              <w:rPr>
                <w:rFonts w:ascii="Arial" w:hAnsi="Arial" w:cs="Arial"/>
                <w:b/>
                <w:sz w:val="18"/>
                <w:szCs w:val="18"/>
              </w:rPr>
            </w:pPr>
            <w:r>
              <w:rPr>
                <w:rFonts w:ascii="Arial" w:hAnsi="Arial"/>
                <w:b/>
                <w:sz w:val="18"/>
                <w:szCs w:val="18"/>
              </w:rPr>
              <w:t>Conto economico</w:t>
            </w:r>
          </w:p>
        </w:tc>
        <w:tc>
          <w:tcPr>
            <w:tcW w:w="3855" w:type="dxa"/>
            <w:gridSpan w:val="8"/>
            <w:vAlign w:val="center"/>
          </w:tcPr>
          <w:p w14:paraId="7C2241C2" w14:textId="77777777" w:rsidR="00352338" w:rsidRPr="000277E3" w:rsidRDefault="00352338" w:rsidP="00352338">
            <w:pPr>
              <w:jc w:val="center"/>
              <w:rPr>
                <w:rFonts w:ascii="Arial" w:hAnsi="Arial" w:cs="Arial"/>
                <w:b/>
                <w:sz w:val="18"/>
                <w:szCs w:val="18"/>
              </w:rPr>
            </w:pPr>
            <w:r>
              <w:rPr>
                <w:rFonts w:ascii="Arial" w:hAnsi="Arial"/>
                <w:b/>
                <w:sz w:val="18"/>
                <w:szCs w:val="18"/>
              </w:rPr>
              <w:t>S1 2019</w:t>
            </w:r>
          </w:p>
        </w:tc>
        <w:tc>
          <w:tcPr>
            <w:tcW w:w="3855" w:type="dxa"/>
            <w:gridSpan w:val="7"/>
            <w:vAlign w:val="center"/>
          </w:tcPr>
          <w:p w14:paraId="49419A66" w14:textId="77777777" w:rsidR="00352338" w:rsidRPr="000277E3" w:rsidRDefault="00352338" w:rsidP="00352338">
            <w:pPr>
              <w:jc w:val="center"/>
              <w:rPr>
                <w:rFonts w:ascii="Arial" w:hAnsi="Arial" w:cs="Arial"/>
                <w:b/>
                <w:sz w:val="18"/>
                <w:szCs w:val="18"/>
              </w:rPr>
            </w:pPr>
            <w:r>
              <w:rPr>
                <w:rFonts w:ascii="Arial" w:hAnsi="Arial"/>
                <w:b/>
                <w:sz w:val="18"/>
                <w:szCs w:val="18"/>
              </w:rPr>
              <w:t xml:space="preserve">S1 2018 </w:t>
            </w:r>
            <w:r>
              <w:rPr>
                <w:rFonts w:ascii="Arial" w:hAnsi="Arial"/>
                <w:b/>
                <w:sz w:val="18"/>
                <w:szCs w:val="18"/>
                <w:vertAlign w:val="superscript"/>
              </w:rPr>
              <w:t>(1)</w:t>
            </w:r>
          </w:p>
        </w:tc>
      </w:tr>
      <w:tr w:rsidR="00352338" w:rsidRPr="000277E3" w14:paraId="73399CA9" w14:textId="77777777" w:rsidTr="003F6782">
        <w:tc>
          <w:tcPr>
            <w:tcW w:w="2721" w:type="dxa"/>
            <w:vAlign w:val="center"/>
          </w:tcPr>
          <w:p w14:paraId="7BD25969" w14:textId="77777777" w:rsidR="00352338" w:rsidRPr="000277E3" w:rsidRDefault="00352338" w:rsidP="00352338">
            <w:pPr>
              <w:jc w:val="center"/>
              <w:rPr>
                <w:rFonts w:ascii="Arial" w:hAnsi="Arial" w:cs="Arial"/>
                <w:sz w:val="16"/>
                <w:szCs w:val="16"/>
              </w:rPr>
            </w:pPr>
            <w:r>
              <w:rPr>
                <w:rFonts w:ascii="Arial" w:hAnsi="Arial"/>
                <w:bCs/>
                <w:sz w:val="16"/>
                <w:szCs w:val="16"/>
              </w:rPr>
              <w:t>m€</w:t>
            </w:r>
          </w:p>
        </w:tc>
        <w:tc>
          <w:tcPr>
            <w:tcW w:w="907" w:type="dxa"/>
            <w:gridSpan w:val="2"/>
            <w:vAlign w:val="center"/>
          </w:tcPr>
          <w:p w14:paraId="4FBD0A74" w14:textId="77777777" w:rsidR="00352338" w:rsidRPr="000277E3" w:rsidRDefault="00352338" w:rsidP="00352338">
            <w:pPr>
              <w:jc w:val="right"/>
              <w:rPr>
                <w:rFonts w:ascii="Arial" w:hAnsi="Arial" w:cs="Arial"/>
                <w:sz w:val="16"/>
                <w:szCs w:val="16"/>
              </w:rPr>
            </w:pPr>
            <w:r>
              <w:rPr>
                <w:rFonts w:ascii="Arial" w:hAnsi="Arial"/>
                <w:sz w:val="16"/>
                <w:szCs w:val="16"/>
              </w:rPr>
              <w:t>Rideterminato</w:t>
            </w:r>
          </w:p>
        </w:tc>
        <w:tc>
          <w:tcPr>
            <w:tcW w:w="1020" w:type="dxa"/>
            <w:gridSpan w:val="2"/>
            <w:vAlign w:val="center"/>
          </w:tcPr>
          <w:p w14:paraId="2246E0FB" w14:textId="77777777" w:rsidR="00352338" w:rsidRPr="000277E3" w:rsidRDefault="00352338" w:rsidP="00352338">
            <w:pPr>
              <w:jc w:val="right"/>
              <w:rPr>
                <w:rFonts w:ascii="Arial" w:hAnsi="Arial" w:cs="Arial"/>
                <w:sz w:val="16"/>
                <w:szCs w:val="16"/>
              </w:rPr>
            </w:pPr>
            <w:r>
              <w:rPr>
                <w:rFonts w:ascii="Arial" w:hAnsi="Arial"/>
                <w:sz w:val="16"/>
                <w:szCs w:val="16"/>
              </w:rPr>
              <w:t>Impatto delle società soggette a controllo congiunto</w:t>
            </w:r>
          </w:p>
        </w:tc>
        <w:tc>
          <w:tcPr>
            <w:tcW w:w="1020" w:type="dxa"/>
            <w:gridSpan w:val="2"/>
            <w:vAlign w:val="center"/>
          </w:tcPr>
          <w:p w14:paraId="1431B2AF" w14:textId="77777777" w:rsidR="00352338" w:rsidRPr="000277E3" w:rsidRDefault="00352338" w:rsidP="00352338">
            <w:pPr>
              <w:jc w:val="right"/>
              <w:rPr>
                <w:rFonts w:ascii="Arial" w:hAnsi="Arial" w:cs="Arial"/>
                <w:bCs/>
                <w:sz w:val="16"/>
                <w:szCs w:val="16"/>
              </w:rPr>
            </w:pPr>
            <w:r>
              <w:rPr>
                <w:rFonts w:ascii="Arial" w:hAnsi="Arial"/>
                <w:bCs/>
                <w:sz w:val="16"/>
                <w:szCs w:val="16"/>
              </w:rPr>
              <w:t xml:space="preserve">Impatto IFRS 16 delle società controllate </w:t>
            </w:r>
            <w:r>
              <w:rPr>
                <w:rFonts w:ascii="Arial" w:hAnsi="Arial"/>
                <w:bCs/>
                <w:sz w:val="16"/>
                <w:szCs w:val="16"/>
                <w:vertAlign w:val="superscript"/>
              </w:rPr>
              <w:t>(2)</w:t>
            </w:r>
          </w:p>
        </w:tc>
        <w:tc>
          <w:tcPr>
            <w:tcW w:w="908" w:type="dxa"/>
            <w:gridSpan w:val="2"/>
            <w:vAlign w:val="center"/>
          </w:tcPr>
          <w:p w14:paraId="51A0B193" w14:textId="77777777" w:rsidR="00352338" w:rsidRPr="000277E3" w:rsidRDefault="00352338" w:rsidP="00352338">
            <w:pPr>
              <w:jc w:val="right"/>
              <w:rPr>
                <w:rFonts w:ascii="Arial" w:hAnsi="Arial" w:cs="Arial"/>
                <w:sz w:val="16"/>
                <w:szCs w:val="16"/>
              </w:rPr>
            </w:pPr>
            <w:r>
              <w:rPr>
                <w:rFonts w:ascii="Arial" w:hAnsi="Arial"/>
                <w:sz w:val="16"/>
                <w:szCs w:val="16"/>
              </w:rPr>
              <w:t>IFRS</w:t>
            </w:r>
          </w:p>
        </w:tc>
        <w:tc>
          <w:tcPr>
            <w:tcW w:w="907" w:type="dxa"/>
            <w:gridSpan w:val="2"/>
            <w:vAlign w:val="center"/>
          </w:tcPr>
          <w:p w14:paraId="1CC9319E" w14:textId="77777777" w:rsidR="00352338" w:rsidRPr="000277E3" w:rsidRDefault="00352338" w:rsidP="00352338">
            <w:pPr>
              <w:jc w:val="right"/>
              <w:rPr>
                <w:rFonts w:ascii="Arial" w:hAnsi="Arial" w:cs="Arial"/>
                <w:sz w:val="16"/>
                <w:szCs w:val="16"/>
              </w:rPr>
            </w:pPr>
            <w:r>
              <w:rPr>
                <w:rFonts w:ascii="Arial" w:hAnsi="Arial"/>
                <w:sz w:val="16"/>
                <w:szCs w:val="16"/>
              </w:rPr>
              <w:t>Rideterminato</w:t>
            </w:r>
          </w:p>
        </w:tc>
        <w:tc>
          <w:tcPr>
            <w:tcW w:w="1020" w:type="dxa"/>
            <w:gridSpan w:val="2"/>
            <w:vAlign w:val="center"/>
          </w:tcPr>
          <w:p w14:paraId="6D812C60" w14:textId="77777777" w:rsidR="00352338" w:rsidRPr="000277E3" w:rsidRDefault="00352338" w:rsidP="00352338">
            <w:pPr>
              <w:jc w:val="right"/>
              <w:rPr>
                <w:rFonts w:ascii="Arial" w:hAnsi="Arial" w:cs="Arial"/>
                <w:sz w:val="16"/>
                <w:szCs w:val="16"/>
              </w:rPr>
            </w:pPr>
            <w:r>
              <w:rPr>
                <w:rFonts w:ascii="Arial" w:hAnsi="Arial"/>
                <w:sz w:val="16"/>
                <w:szCs w:val="16"/>
              </w:rPr>
              <w:t>Impatto delle società soggette a controllo congiunto</w:t>
            </w:r>
          </w:p>
        </w:tc>
        <w:tc>
          <w:tcPr>
            <w:tcW w:w="1020" w:type="dxa"/>
            <w:gridSpan w:val="2"/>
            <w:vAlign w:val="center"/>
          </w:tcPr>
          <w:p w14:paraId="0F903EA3" w14:textId="77777777" w:rsidR="00352338" w:rsidRPr="000277E3" w:rsidRDefault="00352338" w:rsidP="00352338">
            <w:pPr>
              <w:jc w:val="right"/>
              <w:rPr>
                <w:rFonts w:ascii="Arial" w:hAnsi="Arial" w:cs="Arial"/>
                <w:bCs/>
                <w:sz w:val="16"/>
                <w:szCs w:val="16"/>
              </w:rPr>
            </w:pPr>
            <w:r>
              <w:rPr>
                <w:rFonts w:ascii="Arial" w:hAnsi="Arial"/>
                <w:bCs/>
                <w:sz w:val="16"/>
                <w:szCs w:val="16"/>
              </w:rPr>
              <w:t xml:space="preserve">Impatto IFRS 16 delle società controllate </w:t>
            </w:r>
            <w:r>
              <w:rPr>
                <w:rFonts w:ascii="Arial" w:hAnsi="Arial"/>
                <w:bCs/>
                <w:sz w:val="16"/>
                <w:szCs w:val="16"/>
                <w:vertAlign w:val="superscript"/>
              </w:rPr>
              <w:t>(2)</w:t>
            </w:r>
          </w:p>
        </w:tc>
        <w:tc>
          <w:tcPr>
            <w:tcW w:w="908" w:type="dxa"/>
            <w:vAlign w:val="center"/>
          </w:tcPr>
          <w:p w14:paraId="2BBFAC16" w14:textId="77777777" w:rsidR="00352338" w:rsidRPr="000277E3" w:rsidRDefault="00352338" w:rsidP="00352338">
            <w:pPr>
              <w:jc w:val="right"/>
              <w:rPr>
                <w:rFonts w:ascii="Arial" w:hAnsi="Arial" w:cs="Arial"/>
                <w:sz w:val="16"/>
                <w:szCs w:val="16"/>
              </w:rPr>
            </w:pPr>
            <w:r>
              <w:rPr>
                <w:rFonts w:ascii="Arial" w:hAnsi="Arial"/>
                <w:sz w:val="16"/>
                <w:szCs w:val="16"/>
              </w:rPr>
              <w:t>IFRS</w:t>
            </w:r>
          </w:p>
        </w:tc>
      </w:tr>
      <w:tr w:rsidR="003F6782" w:rsidRPr="000277E3" w14:paraId="382E12DA" w14:textId="77777777" w:rsidTr="00A34876">
        <w:trPr>
          <w:trHeight w:val="454"/>
        </w:trPr>
        <w:tc>
          <w:tcPr>
            <w:tcW w:w="2721" w:type="dxa"/>
            <w:vAlign w:val="center"/>
          </w:tcPr>
          <w:p w14:paraId="043BE2FA" w14:textId="77777777" w:rsidR="003F6782" w:rsidRPr="000277E3" w:rsidRDefault="003F6782" w:rsidP="003F6782">
            <w:pPr>
              <w:rPr>
                <w:rFonts w:ascii="Arial" w:hAnsi="Arial" w:cs="Arial"/>
                <w:b/>
                <w:sz w:val="16"/>
                <w:szCs w:val="18"/>
              </w:rPr>
            </w:pPr>
            <w:r>
              <w:rPr>
                <w:rFonts w:ascii="Arial" w:hAnsi="Arial"/>
                <w:b/>
                <w:sz w:val="16"/>
                <w:szCs w:val="18"/>
              </w:rPr>
              <w:t>Fatturato</w:t>
            </w:r>
          </w:p>
        </w:tc>
        <w:tc>
          <w:tcPr>
            <w:tcW w:w="907" w:type="dxa"/>
            <w:gridSpan w:val="2"/>
            <w:vAlign w:val="center"/>
          </w:tcPr>
          <w:p w14:paraId="087F53BC"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1.842,3</w:t>
            </w:r>
          </w:p>
        </w:tc>
        <w:tc>
          <w:tcPr>
            <w:tcW w:w="1020" w:type="dxa"/>
            <w:gridSpan w:val="2"/>
            <w:vAlign w:val="center"/>
          </w:tcPr>
          <w:p w14:paraId="17BC0EA5"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(190,9)</w:t>
            </w:r>
          </w:p>
        </w:tc>
        <w:tc>
          <w:tcPr>
            <w:tcW w:w="1020" w:type="dxa"/>
            <w:gridSpan w:val="2"/>
            <w:vAlign w:val="center"/>
          </w:tcPr>
          <w:p w14:paraId="248A7E06"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w:t>
            </w:r>
          </w:p>
        </w:tc>
        <w:tc>
          <w:tcPr>
            <w:tcW w:w="908" w:type="dxa"/>
            <w:gridSpan w:val="2"/>
            <w:vAlign w:val="center"/>
          </w:tcPr>
          <w:p w14:paraId="70117ADA"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1.651,4</w:t>
            </w:r>
          </w:p>
        </w:tc>
        <w:tc>
          <w:tcPr>
            <w:tcW w:w="907" w:type="dxa"/>
            <w:gridSpan w:val="2"/>
            <w:vAlign w:val="center"/>
          </w:tcPr>
          <w:p w14:paraId="69A2F2C1"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1.643,3</w:t>
            </w:r>
          </w:p>
        </w:tc>
        <w:tc>
          <w:tcPr>
            <w:tcW w:w="1020" w:type="dxa"/>
            <w:gridSpan w:val="2"/>
            <w:vAlign w:val="center"/>
          </w:tcPr>
          <w:p w14:paraId="2B47D62B"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(195,5)</w:t>
            </w:r>
          </w:p>
        </w:tc>
        <w:tc>
          <w:tcPr>
            <w:tcW w:w="1020" w:type="dxa"/>
            <w:gridSpan w:val="2"/>
            <w:vAlign w:val="center"/>
          </w:tcPr>
          <w:p w14:paraId="7DEFF35A"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w:t>
            </w:r>
          </w:p>
        </w:tc>
        <w:tc>
          <w:tcPr>
            <w:tcW w:w="908" w:type="dxa"/>
            <w:vAlign w:val="center"/>
          </w:tcPr>
          <w:p w14:paraId="7957CBB0"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1.447,8</w:t>
            </w:r>
          </w:p>
        </w:tc>
      </w:tr>
      <w:tr w:rsidR="003F6782" w:rsidRPr="000277E3" w14:paraId="5DBD4DD5" w14:textId="77777777" w:rsidTr="00A34876">
        <w:trPr>
          <w:trHeight w:val="454"/>
        </w:trPr>
        <w:tc>
          <w:tcPr>
            <w:tcW w:w="2721" w:type="dxa"/>
            <w:vAlign w:val="center"/>
          </w:tcPr>
          <w:p w14:paraId="5A960F08" w14:textId="77777777" w:rsidR="003F6782" w:rsidRPr="000277E3" w:rsidRDefault="003F6782" w:rsidP="003F6782">
            <w:pPr>
              <w:rPr>
                <w:rFonts w:ascii="Arial" w:hAnsi="Arial" w:cs="Arial"/>
                <w:sz w:val="16"/>
                <w:szCs w:val="18"/>
              </w:rPr>
            </w:pPr>
            <w:r>
              <w:rPr>
                <w:rFonts w:ascii="Arial" w:hAnsi="Arial"/>
                <w:sz w:val="16"/>
                <w:szCs w:val="18"/>
              </w:rPr>
              <w:t>Costi di gestione netti</w:t>
            </w:r>
          </w:p>
        </w:tc>
        <w:tc>
          <w:tcPr>
            <w:tcW w:w="907" w:type="dxa"/>
            <w:gridSpan w:val="2"/>
            <w:vAlign w:val="center"/>
          </w:tcPr>
          <w:p w14:paraId="49CB9DF1"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(1.535,9)</w:t>
            </w:r>
          </w:p>
        </w:tc>
        <w:tc>
          <w:tcPr>
            <w:tcW w:w="1020" w:type="dxa"/>
            <w:gridSpan w:val="2"/>
            <w:vAlign w:val="center"/>
          </w:tcPr>
          <w:p w14:paraId="2376FFF1"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137,4</w:t>
            </w:r>
          </w:p>
        </w:tc>
        <w:tc>
          <w:tcPr>
            <w:tcW w:w="1020" w:type="dxa"/>
            <w:gridSpan w:val="2"/>
            <w:vAlign w:val="center"/>
          </w:tcPr>
          <w:p w14:paraId="27458EC7"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567,6</w:t>
            </w:r>
          </w:p>
        </w:tc>
        <w:tc>
          <w:tcPr>
            <w:tcW w:w="908" w:type="dxa"/>
            <w:gridSpan w:val="2"/>
            <w:vAlign w:val="center"/>
          </w:tcPr>
          <w:p w14:paraId="3283340C"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(830,9)</w:t>
            </w:r>
          </w:p>
        </w:tc>
        <w:tc>
          <w:tcPr>
            <w:tcW w:w="907" w:type="dxa"/>
            <w:gridSpan w:val="2"/>
            <w:vAlign w:val="center"/>
          </w:tcPr>
          <w:p w14:paraId="6E707C56"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(1.406,6)</w:t>
            </w:r>
          </w:p>
        </w:tc>
        <w:tc>
          <w:tcPr>
            <w:tcW w:w="1020" w:type="dxa"/>
            <w:gridSpan w:val="2"/>
            <w:vAlign w:val="center"/>
          </w:tcPr>
          <w:p w14:paraId="6C5ED01F"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142,2</w:t>
            </w:r>
          </w:p>
        </w:tc>
        <w:tc>
          <w:tcPr>
            <w:tcW w:w="1020" w:type="dxa"/>
            <w:gridSpan w:val="2"/>
            <w:vAlign w:val="center"/>
          </w:tcPr>
          <w:p w14:paraId="0C633039"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474,0</w:t>
            </w:r>
          </w:p>
        </w:tc>
        <w:tc>
          <w:tcPr>
            <w:tcW w:w="908" w:type="dxa"/>
            <w:vAlign w:val="center"/>
          </w:tcPr>
          <w:p w14:paraId="543DB107"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(790,4)</w:t>
            </w:r>
          </w:p>
        </w:tc>
      </w:tr>
      <w:tr w:rsidR="003F6782" w:rsidRPr="000277E3" w14:paraId="36C28C27" w14:textId="77777777" w:rsidTr="00A34876">
        <w:trPr>
          <w:trHeight w:val="454"/>
        </w:trPr>
        <w:tc>
          <w:tcPr>
            <w:tcW w:w="2721" w:type="dxa"/>
            <w:vAlign w:val="center"/>
          </w:tcPr>
          <w:p w14:paraId="425FBA9F" w14:textId="77777777" w:rsidR="003F6782" w:rsidRPr="000277E3" w:rsidRDefault="003F6782" w:rsidP="003F6782">
            <w:pPr>
              <w:rPr>
                <w:rFonts w:ascii="Arial" w:hAnsi="Arial" w:cs="Arial"/>
                <w:b/>
                <w:sz w:val="16"/>
                <w:szCs w:val="18"/>
              </w:rPr>
            </w:pPr>
            <w:r>
              <w:rPr>
                <w:rFonts w:ascii="Arial" w:hAnsi="Arial"/>
                <w:b/>
                <w:sz w:val="16"/>
                <w:szCs w:val="18"/>
              </w:rPr>
              <w:t>Margine operativo</w:t>
            </w:r>
          </w:p>
        </w:tc>
        <w:tc>
          <w:tcPr>
            <w:tcW w:w="907" w:type="dxa"/>
            <w:gridSpan w:val="2"/>
            <w:vAlign w:val="center"/>
          </w:tcPr>
          <w:p w14:paraId="6D874239"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306,4</w:t>
            </w:r>
          </w:p>
        </w:tc>
        <w:tc>
          <w:tcPr>
            <w:tcW w:w="1020" w:type="dxa"/>
            <w:gridSpan w:val="2"/>
            <w:vAlign w:val="center"/>
          </w:tcPr>
          <w:p w14:paraId="79046416"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(53,5)</w:t>
            </w:r>
          </w:p>
        </w:tc>
        <w:tc>
          <w:tcPr>
            <w:tcW w:w="1020" w:type="dxa"/>
            <w:gridSpan w:val="2"/>
            <w:vAlign w:val="center"/>
          </w:tcPr>
          <w:p w14:paraId="3880A909"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567,6</w:t>
            </w:r>
          </w:p>
        </w:tc>
        <w:tc>
          <w:tcPr>
            <w:tcW w:w="908" w:type="dxa"/>
            <w:gridSpan w:val="2"/>
            <w:vAlign w:val="center"/>
          </w:tcPr>
          <w:p w14:paraId="3AE1A0A7"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820,5</w:t>
            </w:r>
          </w:p>
        </w:tc>
        <w:tc>
          <w:tcPr>
            <w:tcW w:w="907" w:type="dxa"/>
            <w:gridSpan w:val="2"/>
            <w:vAlign w:val="center"/>
          </w:tcPr>
          <w:p w14:paraId="7CDCED19"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236,7</w:t>
            </w:r>
          </w:p>
        </w:tc>
        <w:tc>
          <w:tcPr>
            <w:tcW w:w="1020" w:type="dxa"/>
            <w:gridSpan w:val="2"/>
            <w:vAlign w:val="center"/>
          </w:tcPr>
          <w:p w14:paraId="4280CE65"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(53,3)</w:t>
            </w:r>
          </w:p>
        </w:tc>
        <w:tc>
          <w:tcPr>
            <w:tcW w:w="1020" w:type="dxa"/>
            <w:gridSpan w:val="2"/>
            <w:vAlign w:val="center"/>
          </w:tcPr>
          <w:p w14:paraId="627ACB56"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474,0</w:t>
            </w:r>
          </w:p>
        </w:tc>
        <w:tc>
          <w:tcPr>
            <w:tcW w:w="908" w:type="dxa"/>
            <w:vAlign w:val="center"/>
          </w:tcPr>
          <w:p w14:paraId="1BD7897F"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657,4</w:t>
            </w:r>
          </w:p>
        </w:tc>
      </w:tr>
      <w:tr w:rsidR="003F6782" w:rsidRPr="000277E3" w14:paraId="1F9D7D0D" w14:textId="77777777" w:rsidTr="00A34876">
        <w:trPr>
          <w:trHeight w:val="454"/>
        </w:trPr>
        <w:tc>
          <w:tcPr>
            <w:tcW w:w="2721" w:type="dxa"/>
            <w:vAlign w:val="center"/>
          </w:tcPr>
          <w:p w14:paraId="608784CA" w14:textId="77777777" w:rsidR="003F6782" w:rsidRPr="000277E3" w:rsidRDefault="003F6782" w:rsidP="003F6782">
            <w:pPr>
              <w:rPr>
                <w:rFonts w:ascii="Arial" w:hAnsi="Arial" w:cs="Arial"/>
                <w:sz w:val="16"/>
                <w:szCs w:val="18"/>
              </w:rPr>
            </w:pPr>
            <w:r>
              <w:rPr>
                <w:rFonts w:ascii="Arial" w:hAnsi="Arial"/>
                <w:sz w:val="16"/>
                <w:szCs w:val="18"/>
              </w:rPr>
              <w:t>Pezzi di ricambio per la manutenzione</w:t>
            </w:r>
          </w:p>
        </w:tc>
        <w:tc>
          <w:tcPr>
            <w:tcW w:w="907" w:type="dxa"/>
            <w:gridSpan w:val="2"/>
            <w:vAlign w:val="center"/>
          </w:tcPr>
          <w:p w14:paraId="49FE244E"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(17,6)</w:t>
            </w:r>
          </w:p>
        </w:tc>
        <w:tc>
          <w:tcPr>
            <w:tcW w:w="1020" w:type="dxa"/>
            <w:gridSpan w:val="2"/>
            <w:vAlign w:val="center"/>
          </w:tcPr>
          <w:p w14:paraId="35C3A5E5"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0,6</w:t>
            </w:r>
          </w:p>
        </w:tc>
        <w:tc>
          <w:tcPr>
            <w:tcW w:w="1020" w:type="dxa"/>
            <w:gridSpan w:val="2"/>
            <w:vAlign w:val="center"/>
          </w:tcPr>
          <w:p w14:paraId="2DC008B3"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w:t>
            </w:r>
          </w:p>
        </w:tc>
        <w:tc>
          <w:tcPr>
            <w:tcW w:w="908" w:type="dxa"/>
            <w:gridSpan w:val="2"/>
            <w:vAlign w:val="center"/>
          </w:tcPr>
          <w:p w14:paraId="3B1A91F2"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(17,0)</w:t>
            </w:r>
          </w:p>
        </w:tc>
        <w:tc>
          <w:tcPr>
            <w:tcW w:w="907" w:type="dxa"/>
            <w:gridSpan w:val="2"/>
            <w:vAlign w:val="center"/>
          </w:tcPr>
          <w:p w14:paraId="055DBF5E"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(16,9)</w:t>
            </w:r>
          </w:p>
        </w:tc>
        <w:tc>
          <w:tcPr>
            <w:tcW w:w="1020" w:type="dxa"/>
            <w:gridSpan w:val="2"/>
            <w:vAlign w:val="center"/>
          </w:tcPr>
          <w:p w14:paraId="78833371"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0,7</w:t>
            </w:r>
          </w:p>
        </w:tc>
        <w:tc>
          <w:tcPr>
            <w:tcW w:w="1020" w:type="dxa"/>
            <w:gridSpan w:val="2"/>
            <w:vAlign w:val="center"/>
          </w:tcPr>
          <w:p w14:paraId="5C595C07"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w:t>
            </w:r>
          </w:p>
        </w:tc>
        <w:tc>
          <w:tcPr>
            <w:tcW w:w="908" w:type="dxa"/>
            <w:vAlign w:val="center"/>
          </w:tcPr>
          <w:p w14:paraId="6B2C5A9F"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(16,2)</w:t>
            </w:r>
          </w:p>
        </w:tc>
      </w:tr>
      <w:tr w:rsidR="003F6782" w:rsidRPr="000277E3" w14:paraId="16CCAF66" w14:textId="77777777" w:rsidTr="00A34876">
        <w:trPr>
          <w:trHeight w:val="454"/>
        </w:trPr>
        <w:tc>
          <w:tcPr>
            <w:tcW w:w="2721" w:type="dxa"/>
            <w:vAlign w:val="center"/>
          </w:tcPr>
          <w:p w14:paraId="77D315CA" w14:textId="77777777" w:rsidR="003F6782" w:rsidRPr="000277E3" w:rsidRDefault="003F6782" w:rsidP="003F6782">
            <w:pPr>
              <w:rPr>
                <w:rFonts w:ascii="Arial" w:hAnsi="Arial" w:cs="Arial"/>
                <w:sz w:val="16"/>
                <w:szCs w:val="18"/>
              </w:rPr>
            </w:pPr>
            <w:r>
              <w:rPr>
                <w:rFonts w:ascii="Arial" w:hAnsi="Arial"/>
                <w:sz w:val="16"/>
                <w:szCs w:val="18"/>
              </w:rPr>
              <w:t>Ammortamenti e accantonamenti (al netto dei ripristini di valore)</w:t>
            </w:r>
          </w:p>
        </w:tc>
        <w:tc>
          <w:tcPr>
            <w:tcW w:w="907" w:type="dxa"/>
            <w:gridSpan w:val="2"/>
            <w:vAlign w:val="center"/>
          </w:tcPr>
          <w:p w14:paraId="77F7DDD1"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(155,1)</w:t>
            </w:r>
          </w:p>
        </w:tc>
        <w:tc>
          <w:tcPr>
            <w:tcW w:w="1020" w:type="dxa"/>
            <w:gridSpan w:val="2"/>
            <w:vAlign w:val="center"/>
          </w:tcPr>
          <w:p w14:paraId="7B058971"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11,7</w:t>
            </w:r>
          </w:p>
        </w:tc>
        <w:tc>
          <w:tcPr>
            <w:tcW w:w="1020" w:type="dxa"/>
            <w:gridSpan w:val="2"/>
            <w:vAlign w:val="center"/>
          </w:tcPr>
          <w:p w14:paraId="1E76B142"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(501,7)</w:t>
            </w:r>
          </w:p>
        </w:tc>
        <w:tc>
          <w:tcPr>
            <w:tcW w:w="908" w:type="dxa"/>
            <w:gridSpan w:val="2"/>
            <w:vAlign w:val="center"/>
          </w:tcPr>
          <w:p w14:paraId="4A7AF888"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(645,1)</w:t>
            </w:r>
          </w:p>
        </w:tc>
        <w:tc>
          <w:tcPr>
            <w:tcW w:w="907" w:type="dxa"/>
            <w:gridSpan w:val="2"/>
            <w:vAlign w:val="center"/>
          </w:tcPr>
          <w:p w14:paraId="6A9D6527"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(142,3)</w:t>
            </w:r>
          </w:p>
        </w:tc>
        <w:tc>
          <w:tcPr>
            <w:tcW w:w="1020" w:type="dxa"/>
            <w:gridSpan w:val="2"/>
            <w:vAlign w:val="center"/>
          </w:tcPr>
          <w:p w14:paraId="333E6AA7"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10,8</w:t>
            </w:r>
          </w:p>
        </w:tc>
        <w:tc>
          <w:tcPr>
            <w:tcW w:w="1020" w:type="dxa"/>
            <w:gridSpan w:val="2"/>
            <w:vAlign w:val="center"/>
          </w:tcPr>
          <w:p w14:paraId="7C8E4834"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(415,6)</w:t>
            </w:r>
          </w:p>
        </w:tc>
        <w:tc>
          <w:tcPr>
            <w:tcW w:w="908" w:type="dxa"/>
            <w:vAlign w:val="center"/>
          </w:tcPr>
          <w:p w14:paraId="7974F44A"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(547,1)</w:t>
            </w:r>
          </w:p>
        </w:tc>
      </w:tr>
      <w:tr w:rsidR="003F6782" w:rsidRPr="000277E3" w14:paraId="226C18C9" w14:textId="77777777" w:rsidTr="00A34876">
        <w:trPr>
          <w:trHeight w:val="454"/>
        </w:trPr>
        <w:tc>
          <w:tcPr>
            <w:tcW w:w="2721" w:type="dxa"/>
            <w:vAlign w:val="center"/>
          </w:tcPr>
          <w:p w14:paraId="4571A0EA" w14:textId="77777777" w:rsidR="003F6782" w:rsidRPr="000277E3" w:rsidRDefault="003F6782" w:rsidP="003F6782">
            <w:pPr>
              <w:rPr>
                <w:rFonts w:ascii="Arial" w:hAnsi="Arial" w:cs="Arial"/>
                <w:sz w:val="16"/>
                <w:szCs w:val="18"/>
              </w:rPr>
            </w:pPr>
            <w:r>
              <w:rPr>
                <w:rFonts w:ascii="Arial" w:hAnsi="Arial"/>
                <w:sz w:val="16"/>
                <w:szCs w:val="18"/>
              </w:rPr>
              <w:t>Altri ricavi e oneri operativi</w:t>
            </w:r>
          </w:p>
        </w:tc>
        <w:tc>
          <w:tcPr>
            <w:tcW w:w="907" w:type="dxa"/>
            <w:gridSpan w:val="2"/>
            <w:vAlign w:val="center"/>
          </w:tcPr>
          <w:p w14:paraId="33370813"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2,4</w:t>
            </w:r>
          </w:p>
        </w:tc>
        <w:tc>
          <w:tcPr>
            <w:tcW w:w="1020" w:type="dxa"/>
            <w:gridSpan w:val="2"/>
            <w:vAlign w:val="center"/>
          </w:tcPr>
          <w:p w14:paraId="613D9D4A"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0,3</w:t>
            </w:r>
          </w:p>
        </w:tc>
        <w:tc>
          <w:tcPr>
            <w:tcW w:w="1020" w:type="dxa"/>
            <w:gridSpan w:val="2"/>
            <w:vAlign w:val="center"/>
          </w:tcPr>
          <w:p w14:paraId="13C7F84D"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41,8</w:t>
            </w:r>
          </w:p>
        </w:tc>
        <w:tc>
          <w:tcPr>
            <w:tcW w:w="908" w:type="dxa"/>
            <w:gridSpan w:val="2"/>
            <w:vAlign w:val="center"/>
          </w:tcPr>
          <w:p w14:paraId="798D6255"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44,5</w:t>
            </w:r>
          </w:p>
        </w:tc>
        <w:tc>
          <w:tcPr>
            <w:tcW w:w="907" w:type="dxa"/>
            <w:gridSpan w:val="2"/>
            <w:vAlign w:val="center"/>
          </w:tcPr>
          <w:p w14:paraId="40025835"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8,3</w:t>
            </w:r>
          </w:p>
        </w:tc>
        <w:tc>
          <w:tcPr>
            <w:tcW w:w="1020" w:type="dxa"/>
            <w:gridSpan w:val="2"/>
            <w:vAlign w:val="center"/>
          </w:tcPr>
          <w:p w14:paraId="34FEB083"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0,6</w:t>
            </w:r>
          </w:p>
        </w:tc>
        <w:tc>
          <w:tcPr>
            <w:tcW w:w="1020" w:type="dxa"/>
            <w:gridSpan w:val="2"/>
            <w:vAlign w:val="center"/>
          </w:tcPr>
          <w:p w14:paraId="29C66177"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0,1</w:t>
            </w:r>
          </w:p>
        </w:tc>
        <w:tc>
          <w:tcPr>
            <w:tcW w:w="908" w:type="dxa"/>
            <w:vAlign w:val="center"/>
          </w:tcPr>
          <w:p w14:paraId="3A95DDD5"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9,0</w:t>
            </w:r>
          </w:p>
        </w:tc>
      </w:tr>
      <w:tr w:rsidR="003F6782" w:rsidRPr="000277E3" w14:paraId="23A004EA" w14:textId="77777777" w:rsidTr="00A34876">
        <w:trPr>
          <w:trHeight w:val="454"/>
        </w:trPr>
        <w:tc>
          <w:tcPr>
            <w:tcW w:w="2721" w:type="dxa"/>
            <w:vAlign w:val="center"/>
          </w:tcPr>
          <w:p w14:paraId="27FF99C8" w14:textId="77777777" w:rsidR="003F6782" w:rsidRPr="000277E3" w:rsidRDefault="003F6782" w:rsidP="003F6782">
            <w:pPr>
              <w:rPr>
                <w:rFonts w:ascii="Arial" w:hAnsi="Arial" w:cs="Arial"/>
                <w:b/>
                <w:sz w:val="16"/>
                <w:szCs w:val="18"/>
              </w:rPr>
            </w:pPr>
            <w:r>
              <w:rPr>
                <w:rFonts w:ascii="Arial" w:hAnsi="Arial"/>
                <w:b/>
                <w:bCs/>
                <w:sz w:val="16"/>
                <w:szCs w:val="18"/>
              </w:rPr>
              <w:t>Risultato di gestione al lordo degli oneri derivanti dalla riduzione di valore</w:t>
            </w:r>
          </w:p>
        </w:tc>
        <w:tc>
          <w:tcPr>
            <w:tcW w:w="907" w:type="dxa"/>
            <w:gridSpan w:val="2"/>
            <w:vAlign w:val="center"/>
          </w:tcPr>
          <w:p w14:paraId="13BB616E"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136,1</w:t>
            </w:r>
          </w:p>
        </w:tc>
        <w:tc>
          <w:tcPr>
            <w:tcW w:w="1020" w:type="dxa"/>
            <w:gridSpan w:val="2"/>
            <w:vAlign w:val="center"/>
          </w:tcPr>
          <w:p w14:paraId="16956F49"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(40,9)</w:t>
            </w:r>
          </w:p>
        </w:tc>
        <w:tc>
          <w:tcPr>
            <w:tcW w:w="1020" w:type="dxa"/>
            <w:gridSpan w:val="2"/>
            <w:vAlign w:val="center"/>
          </w:tcPr>
          <w:p w14:paraId="7DDB1171"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107,7</w:t>
            </w:r>
          </w:p>
        </w:tc>
        <w:tc>
          <w:tcPr>
            <w:tcW w:w="908" w:type="dxa"/>
            <w:gridSpan w:val="2"/>
            <w:vAlign w:val="center"/>
          </w:tcPr>
          <w:p w14:paraId="583918A8"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202,9</w:t>
            </w:r>
          </w:p>
        </w:tc>
        <w:tc>
          <w:tcPr>
            <w:tcW w:w="907" w:type="dxa"/>
            <w:gridSpan w:val="2"/>
            <w:vAlign w:val="center"/>
          </w:tcPr>
          <w:p w14:paraId="2173C192"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85,8</w:t>
            </w:r>
          </w:p>
        </w:tc>
        <w:tc>
          <w:tcPr>
            <w:tcW w:w="1020" w:type="dxa"/>
            <w:gridSpan w:val="2"/>
            <w:vAlign w:val="center"/>
          </w:tcPr>
          <w:p w14:paraId="70D5BE06"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(41,2)</w:t>
            </w:r>
          </w:p>
        </w:tc>
        <w:tc>
          <w:tcPr>
            <w:tcW w:w="1020" w:type="dxa"/>
            <w:gridSpan w:val="2"/>
            <w:vAlign w:val="center"/>
          </w:tcPr>
          <w:p w14:paraId="52E7F107"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58,5</w:t>
            </w:r>
          </w:p>
        </w:tc>
        <w:tc>
          <w:tcPr>
            <w:tcW w:w="908" w:type="dxa"/>
            <w:vAlign w:val="center"/>
          </w:tcPr>
          <w:p w14:paraId="27167555"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103,1</w:t>
            </w:r>
          </w:p>
        </w:tc>
      </w:tr>
      <w:tr w:rsidR="003F6782" w:rsidRPr="000277E3" w14:paraId="0BFED2A8" w14:textId="77777777" w:rsidTr="00A34876">
        <w:trPr>
          <w:trHeight w:val="454"/>
        </w:trPr>
        <w:tc>
          <w:tcPr>
            <w:tcW w:w="2721" w:type="dxa"/>
            <w:tcBorders>
              <w:bottom w:val="single" w:sz="4" w:space="0" w:color="auto"/>
            </w:tcBorders>
            <w:vAlign w:val="center"/>
          </w:tcPr>
          <w:p w14:paraId="4CE93FFA" w14:textId="77777777" w:rsidR="003F6782" w:rsidRPr="000277E3" w:rsidRDefault="003F6782" w:rsidP="003F6782">
            <w:pPr>
              <w:rPr>
                <w:rFonts w:ascii="Arial" w:hAnsi="Arial" w:cs="Arial"/>
                <w:sz w:val="16"/>
                <w:szCs w:val="18"/>
              </w:rPr>
            </w:pPr>
            <w:r>
              <w:rPr>
                <w:rFonts w:ascii="Arial" w:hAnsi="Arial"/>
                <w:sz w:val="16"/>
                <w:szCs w:val="18"/>
              </w:rPr>
              <w:t xml:space="preserve">Oneri netti derivanti dalla riduzione di valore </w:t>
            </w:r>
            <w:r>
              <w:rPr>
                <w:rFonts w:ascii="Arial" w:hAnsi="Arial"/>
                <w:bCs/>
                <w:sz w:val="16"/>
                <w:szCs w:val="18"/>
                <w:vertAlign w:val="superscript"/>
              </w:rPr>
              <w:t>(3)</w:t>
            </w:r>
          </w:p>
        </w:tc>
        <w:tc>
          <w:tcPr>
            <w:tcW w:w="907" w:type="dxa"/>
            <w:gridSpan w:val="2"/>
            <w:tcBorders>
              <w:bottom w:val="single" w:sz="4" w:space="0" w:color="auto"/>
            </w:tcBorders>
            <w:vAlign w:val="center"/>
          </w:tcPr>
          <w:p w14:paraId="2B4831CA"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3,1</w:t>
            </w:r>
          </w:p>
        </w:tc>
        <w:tc>
          <w:tcPr>
            <w:tcW w:w="1020" w:type="dxa"/>
            <w:gridSpan w:val="2"/>
            <w:tcBorders>
              <w:bottom w:val="single" w:sz="4" w:space="0" w:color="auto"/>
            </w:tcBorders>
            <w:vAlign w:val="center"/>
          </w:tcPr>
          <w:p w14:paraId="0BAACF4E"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w:t>
            </w:r>
          </w:p>
        </w:tc>
        <w:tc>
          <w:tcPr>
            <w:tcW w:w="1020" w:type="dxa"/>
            <w:gridSpan w:val="2"/>
            <w:tcBorders>
              <w:bottom w:val="single" w:sz="4" w:space="0" w:color="auto"/>
            </w:tcBorders>
            <w:vAlign w:val="center"/>
          </w:tcPr>
          <w:p w14:paraId="32DF8A4D"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w:t>
            </w:r>
          </w:p>
        </w:tc>
        <w:tc>
          <w:tcPr>
            <w:tcW w:w="908" w:type="dxa"/>
            <w:gridSpan w:val="2"/>
            <w:tcBorders>
              <w:bottom w:val="single" w:sz="4" w:space="0" w:color="auto"/>
            </w:tcBorders>
            <w:vAlign w:val="center"/>
          </w:tcPr>
          <w:p w14:paraId="44C970D5"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3,1</w:t>
            </w:r>
          </w:p>
        </w:tc>
        <w:tc>
          <w:tcPr>
            <w:tcW w:w="907" w:type="dxa"/>
            <w:gridSpan w:val="2"/>
            <w:tcBorders>
              <w:bottom w:val="single" w:sz="4" w:space="0" w:color="auto"/>
            </w:tcBorders>
            <w:vAlign w:val="center"/>
          </w:tcPr>
          <w:p w14:paraId="7EFA7271"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(0,1)</w:t>
            </w:r>
          </w:p>
        </w:tc>
        <w:tc>
          <w:tcPr>
            <w:tcW w:w="1020" w:type="dxa"/>
            <w:gridSpan w:val="2"/>
            <w:tcBorders>
              <w:bottom w:val="single" w:sz="4" w:space="0" w:color="auto"/>
            </w:tcBorders>
            <w:vAlign w:val="center"/>
          </w:tcPr>
          <w:p w14:paraId="69055BCC"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w:t>
            </w:r>
          </w:p>
        </w:tc>
        <w:tc>
          <w:tcPr>
            <w:tcW w:w="1020" w:type="dxa"/>
            <w:gridSpan w:val="2"/>
            <w:tcBorders>
              <w:bottom w:val="single" w:sz="4" w:space="0" w:color="auto"/>
            </w:tcBorders>
            <w:vAlign w:val="center"/>
          </w:tcPr>
          <w:p w14:paraId="0D9F9FF7"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w:t>
            </w:r>
          </w:p>
        </w:tc>
        <w:tc>
          <w:tcPr>
            <w:tcW w:w="908" w:type="dxa"/>
            <w:tcBorders>
              <w:bottom w:val="single" w:sz="4" w:space="0" w:color="auto"/>
            </w:tcBorders>
            <w:vAlign w:val="center"/>
          </w:tcPr>
          <w:p w14:paraId="3FC88E10" w14:textId="77777777" w:rsidR="003F6782" w:rsidRPr="003F21E7"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(0,1)</w:t>
            </w:r>
          </w:p>
        </w:tc>
      </w:tr>
      <w:tr w:rsidR="003F6782" w:rsidRPr="000277E3" w14:paraId="4C64D94A" w14:textId="77777777" w:rsidTr="00A34876">
        <w:trPr>
          <w:trHeight w:val="454"/>
        </w:trPr>
        <w:tc>
          <w:tcPr>
            <w:tcW w:w="2721" w:type="dxa"/>
            <w:tcBorders>
              <w:bottom w:val="single" w:sz="4" w:space="0" w:color="auto"/>
            </w:tcBorders>
            <w:vAlign w:val="center"/>
          </w:tcPr>
          <w:p w14:paraId="49E43E83" w14:textId="77777777" w:rsidR="003F6782" w:rsidRPr="000277E3" w:rsidRDefault="003F6782" w:rsidP="003F6782">
            <w:pPr>
              <w:rPr>
                <w:rFonts w:ascii="Arial" w:hAnsi="Arial" w:cs="Arial"/>
                <w:b/>
                <w:sz w:val="16"/>
                <w:szCs w:val="18"/>
              </w:rPr>
            </w:pPr>
            <w:r>
              <w:rPr>
                <w:rFonts w:ascii="Arial" w:hAnsi="Arial"/>
                <w:b/>
                <w:bCs/>
                <w:sz w:val="16"/>
                <w:szCs w:val="18"/>
              </w:rPr>
              <w:t>Risultato di gestione al netto degli oneri derivanti dalla riduzione di valore</w:t>
            </w:r>
          </w:p>
        </w:tc>
        <w:tc>
          <w:tcPr>
            <w:tcW w:w="907" w:type="dxa"/>
            <w:gridSpan w:val="2"/>
            <w:tcBorders>
              <w:bottom w:val="single" w:sz="4" w:space="0" w:color="auto"/>
            </w:tcBorders>
            <w:vAlign w:val="center"/>
          </w:tcPr>
          <w:p w14:paraId="543F0C5E"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139,2</w:t>
            </w:r>
          </w:p>
        </w:tc>
        <w:tc>
          <w:tcPr>
            <w:tcW w:w="1020" w:type="dxa"/>
            <w:gridSpan w:val="2"/>
            <w:tcBorders>
              <w:bottom w:val="single" w:sz="4" w:space="0" w:color="auto"/>
            </w:tcBorders>
            <w:vAlign w:val="center"/>
          </w:tcPr>
          <w:p w14:paraId="11CA57C1"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(40,9)</w:t>
            </w:r>
          </w:p>
        </w:tc>
        <w:tc>
          <w:tcPr>
            <w:tcW w:w="1020" w:type="dxa"/>
            <w:gridSpan w:val="2"/>
            <w:tcBorders>
              <w:bottom w:val="single" w:sz="4" w:space="0" w:color="auto"/>
            </w:tcBorders>
            <w:vAlign w:val="center"/>
          </w:tcPr>
          <w:p w14:paraId="1A954648"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107,7</w:t>
            </w:r>
          </w:p>
        </w:tc>
        <w:tc>
          <w:tcPr>
            <w:tcW w:w="908" w:type="dxa"/>
            <w:gridSpan w:val="2"/>
            <w:tcBorders>
              <w:bottom w:val="single" w:sz="4" w:space="0" w:color="auto"/>
            </w:tcBorders>
            <w:vAlign w:val="center"/>
          </w:tcPr>
          <w:p w14:paraId="6BB5F05A"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206,0</w:t>
            </w:r>
          </w:p>
        </w:tc>
        <w:tc>
          <w:tcPr>
            <w:tcW w:w="907" w:type="dxa"/>
            <w:gridSpan w:val="2"/>
            <w:tcBorders>
              <w:bottom w:val="single" w:sz="4" w:space="0" w:color="auto"/>
            </w:tcBorders>
            <w:vAlign w:val="center"/>
          </w:tcPr>
          <w:p w14:paraId="3DD28F60"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85,7</w:t>
            </w:r>
          </w:p>
        </w:tc>
        <w:tc>
          <w:tcPr>
            <w:tcW w:w="1020" w:type="dxa"/>
            <w:gridSpan w:val="2"/>
            <w:tcBorders>
              <w:bottom w:val="single" w:sz="4" w:space="0" w:color="auto"/>
            </w:tcBorders>
            <w:vAlign w:val="center"/>
          </w:tcPr>
          <w:p w14:paraId="51D33841"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(41,2)</w:t>
            </w:r>
          </w:p>
        </w:tc>
        <w:tc>
          <w:tcPr>
            <w:tcW w:w="1020" w:type="dxa"/>
            <w:gridSpan w:val="2"/>
            <w:tcBorders>
              <w:bottom w:val="single" w:sz="4" w:space="0" w:color="auto"/>
            </w:tcBorders>
            <w:vAlign w:val="center"/>
          </w:tcPr>
          <w:p w14:paraId="2F220269"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58,5</w:t>
            </w:r>
          </w:p>
        </w:tc>
        <w:tc>
          <w:tcPr>
            <w:tcW w:w="908" w:type="dxa"/>
            <w:tcBorders>
              <w:bottom w:val="single" w:sz="4" w:space="0" w:color="auto"/>
            </w:tcBorders>
            <w:vAlign w:val="center"/>
          </w:tcPr>
          <w:p w14:paraId="46C34618" w14:textId="77777777" w:rsidR="003F6782" w:rsidRPr="003F21E7"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103,0</w:t>
            </w:r>
          </w:p>
        </w:tc>
      </w:tr>
      <w:tr w:rsidR="00352338" w:rsidRPr="00822164" w14:paraId="537791A7" w14:textId="77777777" w:rsidTr="003F6782">
        <w:trPr>
          <w:gridAfter w:val="2"/>
          <w:wAfter w:w="952" w:type="dxa"/>
        </w:trPr>
        <w:tc>
          <w:tcPr>
            <w:tcW w:w="9479" w:type="dxa"/>
            <w:gridSpan w:val="14"/>
            <w:tcBorders>
              <w:top w:val="nil"/>
              <w:left w:val="nil"/>
              <w:bottom w:val="nil"/>
              <w:right w:val="nil"/>
            </w:tcBorders>
            <w:shd w:val="clear" w:color="auto" w:fill="auto"/>
          </w:tcPr>
          <w:p w14:paraId="53F0CC2A" w14:textId="4220931A" w:rsidR="00352338" w:rsidRPr="000277E3" w:rsidRDefault="00352338" w:rsidP="00352338">
            <w:pPr>
              <w:ind w:left="210" w:hanging="210"/>
              <w:jc w:val="both"/>
              <w:rPr>
                <w:rFonts w:ascii="Arial" w:hAnsi="Arial" w:cs="Arial"/>
                <w:i/>
                <w:sz w:val="12"/>
                <w:szCs w:val="18"/>
              </w:rPr>
            </w:pPr>
            <w:r>
              <w:rPr>
                <w:rFonts w:ascii="Arial" w:hAnsi="Arial"/>
                <w:i/>
                <w:sz w:val="12"/>
                <w:szCs w:val="18"/>
                <w:vertAlign w:val="superscript"/>
              </w:rPr>
              <w:t>(1)</w:t>
            </w:r>
            <w:r>
              <w:rPr>
                <w:rFonts w:ascii="Arial" w:hAnsi="Arial"/>
                <w:i/>
                <w:sz w:val="12"/>
                <w:szCs w:val="18"/>
              </w:rPr>
              <w:t xml:space="preserve"> I dati </w:t>
            </w:r>
            <w:r w:rsidR="00E20E37">
              <w:rPr>
                <w:rFonts w:ascii="Arial" w:hAnsi="Arial"/>
                <w:i/>
                <w:sz w:val="12"/>
                <w:szCs w:val="18"/>
              </w:rPr>
              <w:t>del</w:t>
            </w:r>
            <w:r>
              <w:rPr>
                <w:rFonts w:ascii="Arial" w:hAnsi="Arial"/>
                <w:i/>
                <w:sz w:val="12"/>
                <w:szCs w:val="18"/>
              </w:rPr>
              <w:t xml:space="preserve"> 2018 sono stati rideterminati </w:t>
            </w:r>
            <w:r w:rsidR="00E20E37">
              <w:rPr>
                <w:rFonts w:ascii="Arial" w:hAnsi="Arial"/>
                <w:i/>
                <w:sz w:val="12"/>
                <w:szCs w:val="18"/>
              </w:rPr>
              <w:t>d</w:t>
            </w:r>
            <w:r>
              <w:rPr>
                <w:rFonts w:ascii="Arial" w:hAnsi="Arial"/>
                <w:i/>
                <w:sz w:val="12"/>
                <w:szCs w:val="18"/>
              </w:rPr>
              <w:t>all'applicazione dell'IFRS 16 applicabile dal 1° gennaio 2019.</w:t>
            </w:r>
          </w:p>
          <w:p w14:paraId="57D550C1" w14:textId="52CFD9FB" w:rsidR="00352338" w:rsidRPr="000277E3" w:rsidRDefault="00352338" w:rsidP="00352338">
            <w:pPr>
              <w:ind w:left="210" w:hanging="210"/>
              <w:jc w:val="both"/>
              <w:rPr>
                <w:rFonts w:ascii="Arial" w:hAnsi="Arial" w:cs="Arial"/>
                <w:i/>
                <w:sz w:val="12"/>
                <w:szCs w:val="18"/>
              </w:rPr>
            </w:pPr>
            <w:r>
              <w:rPr>
                <w:rFonts w:ascii="Arial" w:hAnsi="Arial"/>
                <w:i/>
                <w:sz w:val="12"/>
                <w:szCs w:val="18"/>
                <w:vertAlign w:val="superscript"/>
              </w:rPr>
              <w:t>(2)</w:t>
            </w:r>
            <w:r>
              <w:rPr>
                <w:rFonts w:ascii="Arial" w:hAnsi="Arial"/>
                <w:i/>
                <w:sz w:val="12"/>
                <w:szCs w:val="18"/>
              </w:rPr>
              <w:t xml:space="preserve"> Impatto IFRS 16 sulle locazioni core business</w:t>
            </w:r>
            <w:r w:rsidR="000A7A94">
              <w:rPr>
                <w:rFonts w:ascii="Arial" w:hAnsi="Arial"/>
                <w:i/>
                <w:sz w:val="12"/>
                <w:szCs w:val="18"/>
              </w:rPr>
              <w:t xml:space="preserve"> delle società controllate </w:t>
            </w:r>
          </w:p>
          <w:p w14:paraId="2D87F2BA" w14:textId="77777777" w:rsidR="00352338" w:rsidRPr="000277E3" w:rsidRDefault="00352338" w:rsidP="00352338">
            <w:pPr>
              <w:ind w:left="210" w:hanging="210"/>
              <w:jc w:val="both"/>
              <w:rPr>
                <w:rFonts w:ascii="Arial" w:hAnsi="Arial" w:cs="Arial"/>
                <w:i/>
                <w:sz w:val="12"/>
                <w:szCs w:val="18"/>
              </w:rPr>
            </w:pPr>
            <w:r>
              <w:rPr>
                <w:rFonts w:ascii="Arial" w:hAnsi="Arial"/>
                <w:i/>
                <w:sz w:val="12"/>
                <w:szCs w:val="18"/>
                <w:vertAlign w:val="superscript"/>
              </w:rPr>
              <w:t xml:space="preserve">(3) </w:t>
            </w:r>
            <w:r>
              <w:rPr>
                <w:rFonts w:ascii="Arial" w:hAnsi="Arial"/>
                <w:i/>
                <w:sz w:val="12"/>
                <w:szCs w:val="18"/>
              </w:rPr>
              <w:t xml:space="preserve"> Compresa svalutazione del patrimonio netto delle società sotto controllo congiunto</w:t>
            </w:r>
          </w:p>
        </w:tc>
      </w:tr>
      <w:tr w:rsidR="00352338" w:rsidRPr="00822164" w14:paraId="4897D903" w14:textId="77777777" w:rsidTr="003F6782">
        <w:trPr>
          <w:gridAfter w:val="2"/>
          <w:wAfter w:w="952" w:type="dxa"/>
        </w:trPr>
        <w:tc>
          <w:tcPr>
            <w:tcW w:w="2972" w:type="dxa"/>
            <w:gridSpan w:val="2"/>
            <w:tcBorders>
              <w:top w:val="nil"/>
              <w:left w:val="nil"/>
              <w:bottom w:val="nil"/>
              <w:right w:val="nil"/>
            </w:tcBorders>
            <w:shd w:val="clear" w:color="auto" w:fill="auto"/>
          </w:tcPr>
          <w:p w14:paraId="2D1B8378" w14:textId="77777777" w:rsidR="00352338" w:rsidRPr="00D14232" w:rsidRDefault="00352338" w:rsidP="00960261">
            <w:pPr>
              <w:jc w:val="both"/>
              <w:rPr>
                <w:rFonts w:ascii="Arial" w:hAnsi="Arial" w:cs="Arial"/>
                <w:sz w:val="18"/>
                <w:szCs w:val="18"/>
                <w:lang w:bidi="fr-FR"/>
              </w:rPr>
            </w:pPr>
          </w:p>
          <w:p w14:paraId="138F573B" w14:textId="77777777" w:rsidR="003F6782" w:rsidRPr="00D14232" w:rsidRDefault="003F6782" w:rsidP="00960261">
            <w:pPr>
              <w:jc w:val="both"/>
              <w:rPr>
                <w:rFonts w:ascii="Arial" w:hAnsi="Arial" w:cs="Arial"/>
                <w:sz w:val="18"/>
                <w:szCs w:val="18"/>
                <w:lang w:bidi="fr-FR"/>
              </w:rPr>
            </w:pPr>
          </w:p>
        </w:tc>
        <w:tc>
          <w:tcPr>
            <w:tcW w:w="1134" w:type="dxa"/>
            <w:gridSpan w:val="2"/>
            <w:tcBorders>
              <w:top w:val="nil"/>
              <w:left w:val="nil"/>
              <w:bottom w:val="nil"/>
              <w:right w:val="nil"/>
            </w:tcBorders>
          </w:tcPr>
          <w:p w14:paraId="7D123498" w14:textId="77777777" w:rsidR="00352338" w:rsidRPr="00D14232" w:rsidRDefault="00352338" w:rsidP="00960261">
            <w:pPr>
              <w:jc w:val="both"/>
              <w:rPr>
                <w:rFonts w:ascii="Arial" w:hAnsi="Arial" w:cs="Arial"/>
                <w:sz w:val="18"/>
                <w:szCs w:val="18"/>
                <w:lang w:bidi="fr-FR"/>
              </w:rPr>
            </w:pPr>
          </w:p>
        </w:tc>
        <w:tc>
          <w:tcPr>
            <w:tcW w:w="1236" w:type="dxa"/>
            <w:gridSpan w:val="2"/>
            <w:tcBorders>
              <w:top w:val="nil"/>
              <w:left w:val="nil"/>
              <w:bottom w:val="nil"/>
              <w:right w:val="nil"/>
            </w:tcBorders>
            <w:shd w:val="clear" w:color="auto" w:fill="auto"/>
          </w:tcPr>
          <w:p w14:paraId="3E7893F8" w14:textId="77777777" w:rsidR="00352338" w:rsidRPr="00D14232" w:rsidRDefault="00352338" w:rsidP="00960261">
            <w:pPr>
              <w:jc w:val="both"/>
              <w:rPr>
                <w:rFonts w:ascii="Arial" w:hAnsi="Arial" w:cs="Arial"/>
                <w:sz w:val="18"/>
                <w:szCs w:val="18"/>
                <w:lang w:bidi="fr-FR"/>
              </w:rPr>
            </w:pPr>
          </w:p>
        </w:tc>
        <w:tc>
          <w:tcPr>
            <w:tcW w:w="1087" w:type="dxa"/>
            <w:gridSpan w:val="2"/>
            <w:tcBorders>
              <w:top w:val="nil"/>
              <w:left w:val="nil"/>
              <w:bottom w:val="nil"/>
              <w:right w:val="nil"/>
            </w:tcBorders>
            <w:shd w:val="clear" w:color="auto" w:fill="auto"/>
          </w:tcPr>
          <w:p w14:paraId="32D16889" w14:textId="77777777" w:rsidR="00352338" w:rsidRPr="00D14232" w:rsidRDefault="00352338" w:rsidP="00960261">
            <w:pPr>
              <w:jc w:val="both"/>
              <w:rPr>
                <w:rFonts w:ascii="Arial" w:hAnsi="Arial" w:cs="Arial"/>
                <w:sz w:val="18"/>
                <w:szCs w:val="18"/>
                <w:lang w:bidi="fr-FR"/>
              </w:rPr>
            </w:pPr>
          </w:p>
        </w:tc>
        <w:tc>
          <w:tcPr>
            <w:tcW w:w="891" w:type="dxa"/>
            <w:gridSpan w:val="2"/>
            <w:tcBorders>
              <w:top w:val="nil"/>
              <w:left w:val="nil"/>
              <w:bottom w:val="nil"/>
              <w:right w:val="nil"/>
            </w:tcBorders>
            <w:shd w:val="clear" w:color="auto" w:fill="auto"/>
          </w:tcPr>
          <w:p w14:paraId="26A428A3" w14:textId="77777777" w:rsidR="00352338" w:rsidRPr="00D14232" w:rsidRDefault="00352338" w:rsidP="00960261">
            <w:pPr>
              <w:jc w:val="both"/>
              <w:rPr>
                <w:rFonts w:ascii="Arial" w:hAnsi="Arial" w:cs="Arial"/>
                <w:sz w:val="18"/>
                <w:szCs w:val="18"/>
                <w:lang w:bidi="fr-FR"/>
              </w:rPr>
            </w:pPr>
          </w:p>
        </w:tc>
        <w:tc>
          <w:tcPr>
            <w:tcW w:w="1072" w:type="dxa"/>
            <w:gridSpan w:val="2"/>
            <w:tcBorders>
              <w:top w:val="nil"/>
              <w:left w:val="nil"/>
              <w:bottom w:val="nil"/>
              <w:right w:val="nil"/>
            </w:tcBorders>
            <w:shd w:val="clear" w:color="auto" w:fill="auto"/>
          </w:tcPr>
          <w:p w14:paraId="02B7B907" w14:textId="77777777" w:rsidR="00352338" w:rsidRPr="00D14232" w:rsidRDefault="00352338" w:rsidP="00960261">
            <w:pPr>
              <w:jc w:val="both"/>
              <w:rPr>
                <w:rFonts w:ascii="Arial" w:hAnsi="Arial" w:cs="Arial"/>
                <w:sz w:val="18"/>
                <w:szCs w:val="18"/>
                <w:lang w:bidi="fr-FR"/>
              </w:rPr>
            </w:pPr>
          </w:p>
        </w:tc>
        <w:tc>
          <w:tcPr>
            <w:tcW w:w="1087" w:type="dxa"/>
            <w:gridSpan w:val="2"/>
            <w:tcBorders>
              <w:top w:val="nil"/>
              <w:left w:val="nil"/>
              <w:bottom w:val="nil"/>
              <w:right w:val="nil"/>
            </w:tcBorders>
          </w:tcPr>
          <w:p w14:paraId="5D4203C7" w14:textId="77777777" w:rsidR="00352338" w:rsidRPr="00D14232" w:rsidRDefault="00352338" w:rsidP="00960261">
            <w:pPr>
              <w:jc w:val="both"/>
              <w:rPr>
                <w:rFonts w:ascii="Arial" w:hAnsi="Arial" w:cs="Arial"/>
                <w:sz w:val="18"/>
                <w:szCs w:val="18"/>
                <w:lang w:bidi="fr-FR"/>
              </w:rPr>
            </w:pPr>
          </w:p>
        </w:tc>
      </w:tr>
      <w:tr w:rsidR="00352338" w:rsidRPr="000277E3" w14:paraId="1CF72187" w14:textId="77777777" w:rsidTr="003F6782">
        <w:trPr>
          <w:trHeight w:val="409"/>
        </w:trPr>
        <w:tc>
          <w:tcPr>
            <w:tcW w:w="2721" w:type="dxa"/>
            <w:tcBorders>
              <w:top w:val="nil"/>
              <w:left w:val="nil"/>
            </w:tcBorders>
          </w:tcPr>
          <w:p w14:paraId="046D3244" w14:textId="77777777" w:rsidR="00352338" w:rsidRPr="000277E3" w:rsidRDefault="00352338" w:rsidP="00352338">
            <w:pPr>
              <w:jc w:val="both"/>
              <w:rPr>
                <w:rFonts w:ascii="Arial" w:hAnsi="Arial" w:cs="Arial"/>
                <w:b/>
                <w:sz w:val="18"/>
                <w:szCs w:val="18"/>
              </w:rPr>
            </w:pPr>
            <w:r>
              <w:rPr>
                <w:rFonts w:ascii="Arial" w:hAnsi="Arial"/>
                <w:b/>
                <w:sz w:val="18"/>
                <w:szCs w:val="18"/>
              </w:rPr>
              <w:t>Tabella dei flussi di cassa</w:t>
            </w:r>
          </w:p>
        </w:tc>
        <w:tc>
          <w:tcPr>
            <w:tcW w:w="3855" w:type="dxa"/>
            <w:gridSpan w:val="8"/>
            <w:tcBorders>
              <w:top w:val="single" w:sz="4" w:space="0" w:color="auto"/>
            </w:tcBorders>
            <w:vAlign w:val="center"/>
          </w:tcPr>
          <w:p w14:paraId="6C2E1CF0" w14:textId="77777777" w:rsidR="00352338" w:rsidRPr="000277E3" w:rsidRDefault="00352338" w:rsidP="00352338">
            <w:pPr>
              <w:jc w:val="center"/>
              <w:rPr>
                <w:rFonts w:ascii="Arial" w:hAnsi="Arial" w:cs="Arial"/>
                <w:b/>
                <w:sz w:val="18"/>
                <w:szCs w:val="18"/>
              </w:rPr>
            </w:pPr>
            <w:r>
              <w:rPr>
                <w:rFonts w:ascii="Arial" w:hAnsi="Arial"/>
                <w:b/>
                <w:sz w:val="18"/>
                <w:szCs w:val="18"/>
              </w:rPr>
              <w:t>S1 2019</w:t>
            </w:r>
          </w:p>
        </w:tc>
        <w:tc>
          <w:tcPr>
            <w:tcW w:w="3855" w:type="dxa"/>
            <w:gridSpan w:val="7"/>
            <w:tcBorders>
              <w:top w:val="single" w:sz="4" w:space="0" w:color="auto"/>
            </w:tcBorders>
            <w:vAlign w:val="center"/>
          </w:tcPr>
          <w:p w14:paraId="401912E8" w14:textId="77777777" w:rsidR="00352338" w:rsidRPr="000277E3" w:rsidRDefault="00352338" w:rsidP="00352338">
            <w:pPr>
              <w:jc w:val="center"/>
              <w:rPr>
                <w:rFonts w:ascii="Arial" w:hAnsi="Arial" w:cs="Arial"/>
                <w:b/>
                <w:sz w:val="18"/>
                <w:szCs w:val="18"/>
              </w:rPr>
            </w:pPr>
            <w:r>
              <w:rPr>
                <w:rFonts w:ascii="Arial" w:hAnsi="Arial"/>
                <w:b/>
                <w:sz w:val="18"/>
                <w:szCs w:val="18"/>
              </w:rPr>
              <w:t xml:space="preserve">S1 2018 </w:t>
            </w:r>
            <w:r>
              <w:rPr>
                <w:rFonts w:ascii="Arial" w:hAnsi="Arial"/>
                <w:b/>
                <w:sz w:val="18"/>
                <w:szCs w:val="18"/>
                <w:vertAlign w:val="superscript"/>
              </w:rPr>
              <w:t>(1)</w:t>
            </w:r>
          </w:p>
        </w:tc>
      </w:tr>
      <w:tr w:rsidR="00352338" w:rsidRPr="000277E3" w14:paraId="6B6792F3" w14:textId="77777777" w:rsidTr="003F6782">
        <w:tc>
          <w:tcPr>
            <w:tcW w:w="2721" w:type="dxa"/>
            <w:vAlign w:val="center"/>
          </w:tcPr>
          <w:p w14:paraId="4FCE0A50" w14:textId="77777777" w:rsidR="00352338" w:rsidRPr="000277E3" w:rsidRDefault="00352338" w:rsidP="00352338">
            <w:pPr>
              <w:jc w:val="center"/>
              <w:rPr>
                <w:rFonts w:ascii="Arial" w:hAnsi="Arial" w:cs="Arial"/>
                <w:b/>
                <w:sz w:val="16"/>
                <w:szCs w:val="18"/>
              </w:rPr>
            </w:pPr>
            <w:r>
              <w:rPr>
                <w:rFonts w:ascii="Arial" w:hAnsi="Arial"/>
                <w:bCs/>
                <w:sz w:val="16"/>
                <w:szCs w:val="18"/>
              </w:rPr>
              <w:t>m€</w:t>
            </w:r>
          </w:p>
        </w:tc>
        <w:tc>
          <w:tcPr>
            <w:tcW w:w="907" w:type="dxa"/>
            <w:gridSpan w:val="2"/>
            <w:vAlign w:val="center"/>
          </w:tcPr>
          <w:p w14:paraId="2E6E89D6" w14:textId="77777777" w:rsidR="00352338" w:rsidRPr="000277E3" w:rsidRDefault="00352338" w:rsidP="00352338">
            <w:pPr>
              <w:jc w:val="right"/>
              <w:rPr>
                <w:rFonts w:ascii="Arial" w:hAnsi="Arial" w:cs="Arial"/>
                <w:sz w:val="16"/>
                <w:szCs w:val="16"/>
              </w:rPr>
            </w:pPr>
            <w:r>
              <w:rPr>
                <w:rFonts w:ascii="Arial" w:hAnsi="Arial"/>
                <w:sz w:val="16"/>
                <w:szCs w:val="16"/>
              </w:rPr>
              <w:t>Rideterminato</w:t>
            </w:r>
          </w:p>
        </w:tc>
        <w:tc>
          <w:tcPr>
            <w:tcW w:w="1020" w:type="dxa"/>
            <w:gridSpan w:val="2"/>
            <w:vAlign w:val="center"/>
          </w:tcPr>
          <w:p w14:paraId="61AAAA5C" w14:textId="77777777" w:rsidR="00352338" w:rsidRPr="000277E3" w:rsidRDefault="00352338" w:rsidP="00352338">
            <w:pPr>
              <w:jc w:val="right"/>
              <w:rPr>
                <w:rFonts w:ascii="Arial" w:hAnsi="Arial" w:cs="Arial"/>
                <w:sz w:val="16"/>
                <w:szCs w:val="16"/>
              </w:rPr>
            </w:pPr>
            <w:r>
              <w:rPr>
                <w:rFonts w:ascii="Arial" w:hAnsi="Arial"/>
                <w:sz w:val="16"/>
                <w:szCs w:val="16"/>
              </w:rPr>
              <w:t>Impatto delle società soggette a controllo congiunto</w:t>
            </w:r>
          </w:p>
        </w:tc>
        <w:tc>
          <w:tcPr>
            <w:tcW w:w="1020" w:type="dxa"/>
            <w:gridSpan w:val="2"/>
            <w:vAlign w:val="center"/>
          </w:tcPr>
          <w:p w14:paraId="6B568088" w14:textId="77777777" w:rsidR="00352338" w:rsidRPr="000277E3" w:rsidRDefault="00352338" w:rsidP="00352338">
            <w:pPr>
              <w:jc w:val="right"/>
              <w:rPr>
                <w:rFonts w:ascii="Arial" w:hAnsi="Arial" w:cs="Arial"/>
                <w:bCs/>
                <w:sz w:val="16"/>
                <w:szCs w:val="16"/>
              </w:rPr>
            </w:pPr>
            <w:r>
              <w:rPr>
                <w:rFonts w:ascii="Arial" w:hAnsi="Arial"/>
                <w:bCs/>
                <w:sz w:val="16"/>
                <w:szCs w:val="16"/>
              </w:rPr>
              <w:t xml:space="preserve">Impatto IFRS 16 delle società controllate </w:t>
            </w:r>
            <w:r>
              <w:rPr>
                <w:rFonts w:ascii="Arial" w:hAnsi="Arial"/>
                <w:bCs/>
                <w:sz w:val="16"/>
                <w:szCs w:val="16"/>
                <w:vertAlign w:val="superscript"/>
              </w:rPr>
              <w:t>(2)</w:t>
            </w:r>
          </w:p>
        </w:tc>
        <w:tc>
          <w:tcPr>
            <w:tcW w:w="908" w:type="dxa"/>
            <w:gridSpan w:val="2"/>
            <w:vAlign w:val="center"/>
          </w:tcPr>
          <w:p w14:paraId="708DDDEF" w14:textId="77777777" w:rsidR="00352338" w:rsidRPr="000277E3" w:rsidRDefault="00352338" w:rsidP="00352338">
            <w:pPr>
              <w:jc w:val="right"/>
              <w:rPr>
                <w:rFonts w:ascii="Arial" w:hAnsi="Arial" w:cs="Arial"/>
                <w:sz w:val="16"/>
                <w:szCs w:val="16"/>
              </w:rPr>
            </w:pPr>
            <w:r>
              <w:rPr>
                <w:rFonts w:ascii="Arial" w:hAnsi="Arial"/>
                <w:sz w:val="16"/>
                <w:szCs w:val="16"/>
              </w:rPr>
              <w:t>IFRS</w:t>
            </w:r>
          </w:p>
        </w:tc>
        <w:tc>
          <w:tcPr>
            <w:tcW w:w="907" w:type="dxa"/>
            <w:gridSpan w:val="2"/>
            <w:vAlign w:val="center"/>
          </w:tcPr>
          <w:p w14:paraId="0D8815D5" w14:textId="77777777" w:rsidR="00352338" w:rsidRPr="000277E3" w:rsidRDefault="00352338" w:rsidP="00352338">
            <w:pPr>
              <w:jc w:val="right"/>
              <w:rPr>
                <w:rFonts w:ascii="Arial" w:hAnsi="Arial" w:cs="Arial"/>
                <w:sz w:val="16"/>
                <w:szCs w:val="16"/>
              </w:rPr>
            </w:pPr>
            <w:r>
              <w:rPr>
                <w:rFonts w:ascii="Arial" w:hAnsi="Arial"/>
                <w:sz w:val="16"/>
                <w:szCs w:val="16"/>
              </w:rPr>
              <w:t>Rideterminato</w:t>
            </w:r>
          </w:p>
        </w:tc>
        <w:tc>
          <w:tcPr>
            <w:tcW w:w="1020" w:type="dxa"/>
            <w:gridSpan w:val="2"/>
            <w:vAlign w:val="center"/>
          </w:tcPr>
          <w:p w14:paraId="38BA5788" w14:textId="77777777" w:rsidR="00352338" w:rsidRPr="000277E3" w:rsidRDefault="00352338" w:rsidP="00352338">
            <w:pPr>
              <w:jc w:val="right"/>
              <w:rPr>
                <w:rFonts w:ascii="Arial" w:hAnsi="Arial" w:cs="Arial"/>
                <w:sz w:val="16"/>
                <w:szCs w:val="16"/>
              </w:rPr>
            </w:pPr>
            <w:r>
              <w:rPr>
                <w:rFonts w:ascii="Arial" w:hAnsi="Arial"/>
                <w:sz w:val="16"/>
                <w:szCs w:val="16"/>
              </w:rPr>
              <w:t>Impatto delle società soggette a controllo congiunto</w:t>
            </w:r>
          </w:p>
        </w:tc>
        <w:tc>
          <w:tcPr>
            <w:tcW w:w="1020" w:type="dxa"/>
            <w:gridSpan w:val="2"/>
            <w:vAlign w:val="center"/>
          </w:tcPr>
          <w:p w14:paraId="5FBCDD5D" w14:textId="77777777" w:rsidR="00352338" w:rsidRPr="000277E3" w:rsidRDefault="00352338" w:rsidP="00352338">
            <w:pPr>
              <w:jc w:val="right"/>
              <w:rPr>
                <w:rFonts w:ascii="Arial" w:hAnsi="Arial" w:cs="Arial"/>
                <w:bCs/>
                <w:sz w:val="16"/>
                <w:szCs w:val="16"/>
              </w:rPr>
            </w:pPr>
            <w:r>
              <w:rPr>
                <w:rFonts w:ascii="Arial" w:hAnsi="Arial"/>
                <w:bCs/>
                <w:sz w:val="16"/>
                <w:szCs w:val="16"/>
              </w:rPr>
              <w:t xml:space="preserve">Impatto IFRS 16 delle società controllate </w:t>
            </w:r>
            <w:r>
              <w:rPr>
                <w:rFonts w:ascii="Arial" w:hAnsi="Arial"/>
                <w:bCs/>
                <w:sz w:val="16"/>
                <w:szCs w:val="16"/>
                <w:vertAlign w:val="superscript"/>
              </w:rPr>
              <w:t>(2)</w:t>
            </w:r>
          </w:p>
        </w:tc>
        <w:tc>
          <w:tcPr>
            <w:tcW w:w="908" w:type="dxa"/>
            <w:vAlign w:val="center"/>
          </w:tcPr>
          <w:p w14:paraId="6B851445" w14:textId="77777777" w:rsidR="00352338" w:rsidRPr="000277E3" w:rsidRDefault="00352338" w:rsidP="00352338">
            <w:pPr>
              <w:jc w:val="right"/>
              <w:rPr>
                <w:rFonts w:ascii="Arial" w:hAnsi="Arial" w:cs="Arial"/>
                <w:sz w:val="16"/>
                <w:szCs w:val="16"/>
              </w:rPr>
            </w:pPr>
            <w:r>
              <w:rPr>
                <w:rFonts w:ascii="Arial" w:hAnsi="Arial"/>
                <w:sz w:val="16"/>
                <w:szCs w:val="16"/>
              </w:rPr>
              <w:t>IFRS</w:t>
            </w:r>
          </w:p>
        </w:tc>
      </w:tr>
      <w:tr w:rsidR="003F6782" w:rsidRPr="000277E3" w14:paraId="2AA57441" w14:textId="77777777" w:rsidTr="00A34876">
        <w:trPr>
          <w:trHeight w:val="454"/>
        </w:trPr>
        <w:tc>
          <w:tcPr>
            <w:tcW w:w="2721" w:type="dxa"/>
            <w:vAlign w:val="center"/>
          </w:tcPr>
          <w:p w14:paraId="7F7D6617" w14:textId="77777777" w:rsidR="003F6782" w:rsidRPr="000277E3" w:rsidRDefault="003F6782" w:rsidP="003F6782">
            <w:pPr>
              <w:rPr>
                <w:rFonts w:ascii="Arial" w:hAnsi="Arial" w:cs="Arial"/>
                <w:b/>
                <w:sz w:val="16"/>
                <w:szCs w:val="18"/>
              </w:rPr>
            </w:pPr>
            <w:r>
              <w:rPr>
                <w:rFonts w:ascii="Arial" w:hAnsi="Arial"/>
                <w:b/>
                <w:bCs/>
                <w:sz w:val="16"/>
                <w:szCs w:val="18"/>
              </w:rPr>
              <w:t>Flussi operativi netti dei costi di manutenzione</w:t>
            </w:r>
          </w:p>
        </w:tc>
        <w:tc>
          <w:tcPr>
            <w:tcW w:w="907" w:type="dxa"/>
            <w:gridSpan w:val="2"/>
            <w:vAlign w:val="center"/>
          </w:tcPr>
          <w:p w14:paraId="08C27D44"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191,0</w:t>
            </w:r>
          </w:p>
        </w:tc>
        <w:tc>
          <w:tcPr>
            <w:tcW w:w="1020" w:type="dxa"/>
            <w:gridSpan w:val="2"/>
            <w:vAlign w:val="center"/>
          </w:tcPr>
          <w:p w14:paraId="284C4563"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0,6</w:t>
            </w:r>
          </w:p>
        </w:tc>
        <w:tc>
          <w:tcPr>
            <w:tcW w:w="1020" w:type="dxa"/>
            <w:gridSpan w:val="2"/>
            <w:vAlign w:val="center"/>
          </w:tcPr>
          <w:p w14:paraId="110EBCD6"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520,7</w:t>
            </w:r>
          </w:p>
        </w:tc>
        <w:tc>
          <w:tcPr>
            <w:tcW w:w="908" w:type="dxa"/>
            <w:gridSpan w:val="2"/>
            <w:vAlign w:val="center"/>
          </w:tcPr>
          <w:p w14:paraId="7D6F175C"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712,3</w:t>
            </w:r>
          </w:p>
        </w:tc>
        <w:tc>
          <w:tcPr>
            <w:tcW w:w="907" w:type="dxa"/>
            <w:gridSpan w:val="2"/>
            <w:vAlign w:val="center"/>
          </w:tcPr>
          <w:p w14:paraId="29E0186A"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170,1</w:t>
            </w:r>
          </w:p>
        </w:tc>
        <w:tc>
          <w:tcPr>
            <w:tcW w:w="1020" w:type="dxa"/>
            <w:gridSpan w:val="2"/>
            <w:vAlign w:val="center"/>
          </w:tcPr>
          <w:p w14:paraId="151554E1"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(18,4)</w:t>
            </w:r>
          </w:p>
        </w:tc>
        <w:tc>
          <w:tcPr>
            <w:tcW w:w="1020" w:type="dxa"/>
            <w:gridSpan w:val="2"/>
            <w:vAlign w:val="center"/>
          </w:tcPr>
          <w:p w14:paraId="6E660251"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435,5</w:t>
            </w:r>
          </w:p>
        </w:tc>
        <w:tc>
          <w:tcPr>
            <w:tcW w:w="908" w:type="dxa"/>
            <w:vAlign w:val="center"/>
          </w:tcPr>
          <w:p w14:paraId="5A73E1AC"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587,2</w:t>
            </w:r>
          </w:p>
        </w:tc>
      </w:tr>
      <w:tr w:rsidR="003F6782" w:rsidRPr="000277E3" w14:paraId="56626D64" w14:textId="77777777" w:rsidTr="00A34876">
        <w:trPr>
          <w:trHeight w:val="454"/>
        </w:trPr>
        <w:tc>
          <w:tcPr>
            <w:tcW w:w="2721" w:type="dxa"/>
            <w:vAlign w:val="center"/>
          </w:tcPr>
          <w:p w14:paraId="2869A341" w14:textId="77777777" w:rsidR="003F6782" w:rsidRPr="000277E3" w:rsidRDefault="003F6782" w:rsidP="003F6782">
            <w:pPr>
              <w:rPr>
                <w:rFonts w:ascii="Arial" w:hAnsi="Arial" w:cs="Arial"/>
                <w:sz w:val="16"/>
                <w:szCs w:val="18"/>
              </w:rPr>
            </w:pPr>
            <w:r>
              <w:rPr>
                <w:rFonts w:ascii="Arial" w:hAnsi="Arial"/>
                <w:sz w:val="16"/>
                <w:szCs w:val="18"/>
              </w:rPr>
              <w:t>Variazione delle necessità di capitale circolante</w:t>
            </w:r>
          </w:p>
        </w:tc>
        <w:tc>
          <w:tcPr>
            <w:tcW w:w="907" w:type="dxa"/>
            <w:gridSpan w:val="2"/>
            <w:vAlign w:val="center"/>
          </w:tcPr>
          <w:p w14:paraId="77A8AC95" w14:textId="77777777" w:rsidR="003F6782" w:rsidRPr="00961E4E"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(62,2)</w:t>
            </w:r>
          </w:p>
        </w:tc>
        <w:tc>
          <w:tcPr>
            <w:tcW w:w="1020" w:type="dxa"/>
            <w:gridSpan w:val="2"/>
            <w:vAlign w:val="center"/>
          </w:tcPr>
          <w:p w14:paraId="1CF1C445" w14:textId="77777777" w:rsidR="003F6782" w:rsidRPr="00961E4E"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(7,1)</w:t>
            </w:r>
          </w:p>
        </w:tc>
        <w:tc>
          <w:tcPr>
            <w:tcW w:w="1020" w:type="dxa"/>
            <w:gridSpan w:val="2"/>
            <w:vAlign w:val="center"/>
          </w:tcPr>
          <w:p w14:paraId="02035387" w14:textId="77777777" w:rsidR="003F6782" w:rsidRPr="00961E4E"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33,4</w:t>
            </w:r>
          </w:p>
        </w:tc>
        <w:tc>
          <w:tcPr>
            <w:tcW w:w="908" w:type="dxa"/>
            <w:gridSpan w:val="2"/>
            <w:vAlign w:val="center"/>
          </w:tcPr>
          <w:p w14:paraId="54A807F5" w14:textId="77777777" w:rsidR="003F6782" w:rsidRPr="00961E4E"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(35,9)</w:t>
            </w:r>
          </w:p>
        </w:tc>
        <w:tc>
          <w:tcPr>
            <w:tcW w:w="907" w:type="dxa"/>
            <w:gridSpan w:val="2"/>
            <w:vAlign w:val="center"/>
          </w:tcPr>
          <w:p w14:paraId="4D461866" w14:textId="77777777" w:rsidR="003F6782" w:rsidRPr="00961E4E"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(37,5)</w:t>
            </w:r>
          </w:p>
        </w:tc>
        <w:tc>
          <w:tcPr>
            <w:tcW w:w="1020" w:type="dxa"/>
            <w:gridSpan w:val="2"/>
            <w:vAlign w:val="center"/>
          </w:tcPr>
          <w:p w14:paraId="1522DC18" w14:textId="77777777" w:rsidR="003F6782" w:rsidRPr="00961E4E"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(20,8)</w:t>
            </w:r>
          </w:p>
        </w:tc>
        <w:tc>
          <w:tcPr>
            <w:tcW w:w="1020" w:type="dxa"/>
            <w:gridSpan w:val="2"/>
            <w:vAlign w:val="center"/>
          </w:tcPr>
          <w:p w14:paraId="756252CB" w14:textId="77777777" w:rsidR="003F6782" w:rsidRPr="00961E4E"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14,2</w:t>
            </w:r>
          </w:p>
        </w:tc>
        <w:tc>
          <w:tcPr>
            <w:tcW w:w="908" w:type="dxa"/>
            <w:vAlign w:val="center"/>
          </w:tcPr>
          <w:p w14:paraId="580F19ED" w14:textId="77777777" w:rsidR="003F6782" w:rsidRPr="00961E4E"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(44,1)</w:t>
            </w:r>
          </w:p>
        </w:tc>
      </w:tr>
      <w:tr w:rsidR="003F6782" w:rsidRPr="000277E3" w14:paraId="6E76117C" w14:textId="77777777" w:rsidTr="00A34876">
        <w:trPr>
          <w:trHeight w:val="454"/>
        </w:trPr>
        <w:tc>
          <w:tcPr>
            <w:tcW w:w="2721" w:type="dxa"/>
            <w:vAlign w:val="center"/>
          </w:tcPr>
          <w:p w14:paraId="190B7C6F" w14:textId="77777777" w:rsidR="003F6782" w:rsidRPr="000277E3" w:rsidRDefault="003F6782" w:rsidP="003F6782">
            <w:pPr>
              <w:rPr>
                <w:rFonts w:ascii="Arial" w:hAnsi="Arial" w:cs="Arial"/>
                <w:b/>
                <w:sz w:val="16"/>
                <w:szCs w:val="18"/>
              </w:rPr>
            </w:pPr>
            <w:r>
              <w:rPr>
                <w:rFonts w:ascii="Arial" w:hAnsi="Arial"/>
                <w:b/>
                <w:sz w:val="16"/>
                <w:szCs w:val="18"/>
              </w:rPr>
              <w:t>Flussi netti delle attività operative</w:t>
            </w:r>
          </w:p>
        </w:tc>
        <w:tc>
          <w:tcPr>
            <w:tcW w:w="907" w:type="dxa"/>
            <w:gridSpan w:val="2"/>
            <w:vAlign w:val="center"/>
          </w:tcPr>
          <w:p w14:paraId="68B15F66"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128,8</w:t>
            </w:r>
          </w:p>
        </w:tc>
        <w:tc>
          <w:tcPr>
            <w:tcW w:w="1020" w:type="dxa"/>
            <w:gridSpan w:val="2"/>
            <w:vAlign w:val="center"/>
          </w:tcPr>
          <w:p w14:paraId="77A5CB48"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(6,5)</w:t>
            </w:r>
          </w:p>
        </w:tc>
        <w:tc>
          <w:tcPr>
            <w:tcW w:w="1020" w:type="dxa"/>
            <w:gridSpan w:val="2"/>
            <w:vAlign w:val="center"/>
          </w:tcPr>
          <w:p w14:paraId="2E747355"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554,1</w:t>
            </w:r>
          </w:p>
        </w:tc>
        <w:tc>
          <w:tcPr>
            <w:tcW w:w="908" w:type="dxa"/>
            <w:gridSpan w:val="2"/>
            <w:vAlign w:val="center"/>
          </w:tcPr>
          <w:p w14:paraId="44794631"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676,4</w:t>
            </w:r>
          </w:p>
        </w:tc>
        <w:tc>
          <w:tcPr>
            <w:tcW w:w="907" w:type="dxa"/>
            <w:gridSpan w:val="2"/>
            <w:vAlign w:val="center"/>
          </w:tcPr>
          <w:p w14:paraId="7B86961F"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132,6</w:t>
            </w:r>
          </w:p>
        </w:tc>
        <w:tc>
          <w:tcPr>
            <w:tcW w:w="1020" w:type="dxa"/>
            <w:gridSpan w:val="2"/>
            <w:vAlign w:val="center"/>
          </w:tcPr>
          <w:p w14:paraId="753A18AC"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(39,2)</w:t>
            </w:r>
          </w:p>
        </w:tc>
        <w:tc>
          <w:tcPr>
            <w:tcW w:w="1020" w:type="dxa"/>
            <w:gridSpan w:val="2"/>
            <w:vAlign w:val="center"/>
          </w:tcPr>
          <w:p w14:paraId="50D17099"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449,7</w:t>
            </w:r>
          </w:p>
        </w:tc>
        <w:tc>
          <w:tcPr>
            <w:tcW w:w="908" w:type="dxa"/>
            <w:vAlign w:val="center"/>
          </w:tcPr>
          <w:p w14:paraId="0DD99000"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543,1</w:t>
            </w:r>
          </w:p>
        </w:tc>
      </w:tr>
      <w:tr w:rsidR="003F6782" w:rsidRPr="000277E3" w14:paraId="31A66FD3" w14:textId="77777777" w:rsidTr="00A34876">
        <w:trPr>
          <w:trHeight w:val="454"/>
        </w:trPr>
        <w:tc>
          <w:tcPr>
            <w:tcW w:w="2721" w:type="dxa"/>
            <w:vAlign w:val="center"/>
          </w:tcPr>
          <w:p w14:paraId="4289B8CF" w14:textId="77777777" w:rsidR="003F6782" w:rsidRPr="000277E3" w:rsidRDefault="003F6782" w:rsidP="003F6782">
            <w:pPr>
              <w:rPr>
                <w:rFonts w:ascii="Arial" w:hAnsi="Arial" w:cs="Arial"/>
                <w:sz w:val="16"/>
                <w:szCs w:val="18"/>
              </w:rPr>
            </w:pPr>
            <w:r>
              <w:rPr>
                <w:rFonts w:ascii="Arial" w:hAnsi="Arial"/>
                <w:sz w:val="16"/>
                <w:szCs w:val="18"/>
              </w:rPr>
              <w:t>Investimenti</w:t>
            </w:r>
          </w:p>
        </w:tc>
        <w:tc>
          <w:tcPr>
            <w:tcW w:w="907" w:type="dxa"/>
            <w:gridSpan w:val="2"/>
            <w:vAlign w:val="center"/>
          </w:tcPr>
          <w:p w14:paraId="3883B34B" w14:textId="77777777" w:rsidR="003F6782" w:rsidRPr="00961E4E"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(136,6)</w:t>
            </w:r>
          </w:p>
        </w:tc>
        <w:tc>
          <w:tcPr>
            <w:tcW w:w="1020" w:type="dxa"/>
            <w:gridSpan w:val="2"/>
            <w:vAlign w:val="center"/>
          </w:tcPr>
          <w:p w14:paraId="2F8212C6" w14:textId="77777777" w:rsidR="003F6782" w:rsidRPr="00961E4E"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5,5</w:t>
            </w:r>
          </w:p>
        </w:tc>
        <w:tc>
          <w:tcPr>
            <w:tcW w:w="1020" w:type="dxa"/>
            <w:gridSpan w:val="2"/>
            <w:vAlign w:val="center"/>
          </w:tcPr>
          <w:p w14:paraId="2C16F732" w14:textId="77777777" w:rsidR="003F6782" w:rsidRPr="00961E4E"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w:t>
            </w:r>
          </w:p>
        </w:tc>
        <w:tc>
          <w:tcPr>
            <w:tcW w:w="908" w:type="dxa"/>
            <w:gridSpan w:val="2"/>
            <w:vAlign w:val="center"/>
          </w:tcPr>
          <w:p w14:paraId="0815F4A9" w14:textId="77777777" w:rsidR="003F6782" w:rsidRPr="00961E4E"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(131,1)</w:t>
            </w:r>
          </w:p>
        </w:tc>
        <w:tc>
          <w:tcPr>
            <w:tcW w:w="907" w:type="dxa"/>
            <w:gridSpan w:val="2"/>
            <w:vAlign w:val="center"/>
          </w:tcPr>
          <w:p w14:paraId="4D57B369" w14:textId="77777777" w:rsidR="003F6782" w:rsidRPr="00961E4E"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(94,2)</w:t>
            </w:r>
          </w:p>
        </w:tc>
        <w:tc>
          <w:tcPr>
            <w:tcW w:w="1020" w:type="dxa"/>
            <w:gridSpan w:val="2"/>
            <w:vAlign w:val="center"/>
          </w:tcPr>
          <w:p w14:paraId="388AAFF1" w14:textId="77777777" w:rsidR="003F6782" w:rsidRPr="00961E4E"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4,4</w:t>
            </w:r>
          </w:p>
        </w:tc>
        <w:tc>
          <w:tcPr>
            <w:tcW w:w="1020" w:type="dxa"/>
            <w:gridSpan w:val="2"/>
            <w:vAlign w:val="center"/>
          </w:tcPr>
          <w:p w14:paraId="3B8C8080" w14:textId="77777777" w:rsidR="003F6782" w:rsidRPr="00961E4E"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w:t>
            </w:r>
          </w:p>
        </w:tc>
        <w:tc>
          <w:tcPr>
            <w:tcW w:w="908" w:type="dxa"/>
            <w:vAlign w:val="center"/>
          </w:tcPr>
          <w:p w14:paraId="182A8113" w14:textId="77777777" w:rsidR="003F6782" w:rsidRPr="00961E4E" w:rsidRDefault="003F6782" w:rsidP="003F6782">
            <w:pPr>
              <w:pStyle w:val="NormaleWeb"/>
              <w:spacing w:before="0" w:beforeAutospacing="0" w:after="0" w:afterAutospacing="0"/>
              <w:jc w:val="right"/>
              <w:textAlignment w:val="top"/>
              <w:rPr>
                <w:rFonts w:ascii="Arial" w:hAnsi="Arial" w:cs="Arial"/>
                <w:bCs/>
                <w:kern w:val="24"/>
                <w:sz w:val="16"/>
                <w:szCs w:val="16"/>
              </w:rPr>
            </w:pPr>
            <w:r>
              <w:rPr>
                <w:rFonts w:ascii="Arial" w:hAnsi="Arial"/>
                <w:bCs/>
                <w:sz w:val="16"/>
                <w:szCs w:val="16"/>
              </w:rPr>
              <w:t>(89,8)</w:t>
            </w:r>
          </w:p>
        </w:tc>
      </w:tr>
      <w:tr w:rsidR="003F6782" w:rsidRPr="000277E3" w14:paraId="43C37D26" w14:textId="77777777" w:rsidTr="00A34876">
        <w:trPr>
          <w:trHeight w:val="454"/>
        </w:trPr>
        <w:tc>
          <w:tcPr>
            <w:tcW w:w="2721" w:type="dxa"/>
            <w:vAlign w:val="center"/>
          </w:tcPr>
          <w:p w14:paraId="591CB4C9" w14:textId="77777777" w:rsidR="003F6782" w:rsidRPr="000277E3" w:rsidRDefault="003F6782" w:rsidP="003F6782">
            <w:pPr>
              <w:rPr>
                <w:rFonts w:ascii="Arial" w:hAnsi="Arial" w:cs="Arial"/>
                <w:b/>
                <w:sz w:val="16"/>
                <w:szCs w:val="18"/>
              </w:rPr>
            </w:pPr>
            <w:r>
              <w:rPr>
                <w:rFonts w:ascii="Arial" w:hAnsi="Arial"/>
                <w:b/>
                <w:sz w:val="16"/>
                <w:szCs w:val="18"/>
              </w:rPr>
              <w:t>Cash-flow disponibile</w:t>
            </w:r>
          </w:p>
        </w:tc>
        <w:tc>
          <w:tcPr>
            <w:tcW w:w="907" w:type="dxa"/>
            <w:gridSpan w:val="2"/>
            <w:vAlign w:val="center"/>
          </w:tcPr>
          <w:p w14:paraId="3D5079A2"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(7,8)</w:t>
            </w:r>
          </w:p>
        </w:tc>
        <w:tc>
          <w:tcPr>
            <w:tcW w:w="1020" w:type="dxa"/>
            <w:gridSpan w:val="2"/>
            <w:vAlign w:val="center"/>
          </w:tcPr>
          <w:p w14:paraId="535703EF"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(1,0)</w:t>
            </w:r>
          </w:p>
        </w:tc>
        <w:tc>
          <w:tcPr>
            <w:tcW w:w="1020" w:type="dxa"/>
            <w:gridSpan w:val="2"/>
            <w:vAlign w:val="center"/>
          </w:tcPr>
          <w:p w14:paraId="4C3EB79F"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554,1</w:t>
            </w:r>
          </w:p>
        </w:tc>
        <w:tc>
          <w:tcPr>
            <w:tcW w:w="908" w:type="dxa"/>
            <w:gridSpan w:val="2"/>
            <w:vAlign w:val="center"/>
          </w:tcPr>
          <w:p w14:paraId="1D1739C3"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545,3</w:t>
            </w:r>
          </w:p>
        </w:tc>
        <w:tc>
          <w:tcPr>
            <w:tcW w:w="907" w:type="dxa"/>
            <w:gridSpan w:val="2"/>
            <w:vAlign w:val="center"/>
          </w:tcPr>
          <w:p w14:paraId="1F0FB001"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38,4</w:t>
            </w:r>
          </w:p>
        </w:tc>
        <w:tc>
          <w:tcPr>
            <w:tcW w:w="1020" w:type="dxa"/>
            <w:gridSpan w:val="2"/>
            <w:vAlign w:val="center"/>
          </w:tcPr>
          <w:p w14:paraId="37DFD8C0"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(34,8)</w:t>
            </w:r>
          </w:p>
        </w:tc>
        <w:tc>
          <w:tcPr>
            <w:tcW w:w="1020" w:type="dxa"/>
            <w:gridSpan w:val="2"/>
            <w:vAlign w:val="center"/>
          </w:tcPr>
          <w:p w14:paraId="218B150B"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449,7</w:t>
            </w:r>
          </w:p>
        </w:tc>
        <w:tc>
          <w:tcPr>
            <w:tcW w:w="908" w:type="dxa"/>
            <w:vAlign w:val="center"/>
          </w:tcPr>
          <w:p w14:paraId="6FB311EC" w14:textId="77777777" w:rsidR="003F6782" w:rsidRPr="00961E4E" w:rsidRDefault="003F6782" w:rsidP="003F6782">
            <w:pPr>
              <w:pStyle w:val="NormaleWeb"/>
              <w:spacing w:before="0" w:beforeAutospacing="0" w:after="0" w:afterAutospacing="0"/>
              <w:jc w:val="right"/>
              <w:textAlignment w:val="top"/>
              <w:rPr>
                <w:rFonts w:ascii="Arial" w:hAnsi="Arial" w:cs="Arial"/>
                <w:b/>
                <w:bCs/>
                <w:kern w:val="24"/>
                <w:sz w:val="16"/>
                <w:szCs w:val="16"/>
              </w:rPr>
            </w:pPr>
            <w:r>
              <w:rPr>
                <w:rFonts w:ascii="Arial" w:hAnsi="Arial"/>
                <w:b/>
                <w:bCs/>
                <w:sz w:val="16"/>
                <w:szCs w:val="16"/>
              </w:rPr>
              <w:t>453,3</w:t>
            </w:r>
          </w:p>
        </w:tc>
      </w:tr>
      <w:tr w:rsidR="00352338" w:rsidRPr="000277E3" w14:paraId="40C736DF" w14:textId="77777777" w:rsidTr="003F6782">
        <w:trPr>
          <w:gridAfter w:val="2"/>
          <w:wAfter w:w="952" w:type="dxa"/>
        </w:trPr>
        <w:tc>
          <w:tcPr>
            <w:tcW w:w="9479" w:type="dxa"/>
            <w:gridSpan w:val="14"/>
            <w:tcBorders>
              <w:top w:val="nil"/>
              <w:left w:val="nil"/>
              <w:bottom w:val="nil"/>
              <w:right w:val="nil"/>
            </w:tcBorders>
            <w:shd w:val="clear" w:color="auto" w:fill="auto"/>
          </w:tcPr>
          <w:p w14:paraId="3DA502BB" w14:textId="5001BAC9" w:rsidR="00352338" w:rsidRPr="000277E3" w:rsidRDefault="00352338" w:rsidP="00352338">
            <w:pPr>
              <w:ind w:left="210" w:hanging="210"/>
              <w:jc w:val="both"/>
              <w:rPr>
                <w:rFonts w:ascii="Arial" w:hAnsi="Arial" w:cs="Arial"/>
                <w:i/>
                <w:sz w:val="12"/>
                <w:szCs w:val="18"/>
              </w:rPr>
            </w:pPr>
            <w:r>
              <w:rPr>
                <w:rFonts w:ascii="Arial" w:hAnsi="Arial"/>
                <w:i/>
                <w:sz w:val="12"/>
                <w:szCs w:val="18"/>
                <w:vertAlign w:val="superscript"/>
              </w:rPr>
              <w:t>(1)</w:t>
            </w:r>
            <w:r>
              <w:rPr>
                <w:rFonts w:ascii="Arial" w:hAnsi="Arial"/>
                <w:i/>
                <w:sz w:val="12"/>
                <w:szCs w:val="18"/>
              </w:rPr>
              <w:t xml:space="preserve"> I dati </w:t>
            </w:r>
            <w:r w:rsidR="00E20E37">
              <w:rPr>
                <w:rFonts w:ascii="Arial" w:hAnsi="Arial"/>
                <w:i/>
                <w:sz w:val="12"/>
                <w:szCs w:val="18"/>
              </w:rPr>
              <w:t xml:space="preserve">del </w:t>
            </w:r>
            <w:r>
              <w:rPr>
                <w:rFonts w:ascii="Arial" w:hAnsi="Arial"/>
                <w:i/>
                <w:sz w:val="12"/>
                <w:szCs w:val="18"/>
              </w:rPr>
              <w:t>2018 sono stati rideterminati</w:t>
            </w:r>
            <w:r w:rsidR="00E20E37">
              <w:rPr>
                <w:rFonts w:ascii="Arial" w:hAnsi="Arial"/>
                <w:i/>
                <w:sz w:val="12"/>
                <w:szCs w:val="18"/>
              </w:rPr>
              <w:t xml:space="preserve"> dall’applicazione</w:t>
            </w:r>
            <w:r>
              <w:rPr>
                <w:rFonts w:ascii="Arial" w:hAnsi="Arial"/>
                <w:i/>
                <w:sz w:val="12"/>
                <w:szCs w:val="18"/>
              </w:rPr>
              <w:t xml:space="preserve"> dell'IFRS 16 applicabile dal 1° gennaio 2019.</w:t>
            </w:r>
          </w:p>
          <w:p w14:paraId="7E66974C" w14:textId="485578F8" w:rsidR="00352338" w:rsidRPr="000277E3" w:rsidRDefault="00352338" w:rsidP="00352338">
            <w:pPr>
              <w:ind w:left="210" w:hanging="210"/>
              <w:jc w:val="both"/>
              <w:rPr>
                <w:rFonts w:ascii="Arial" w:hAnsi="Arial" w:cs="Arial"/>
                <w:i/>
                <w:sz w:val="12"/>
                <w:szCs w:val="18"/>
              </w:rPr>
            </w:pPr>
            <w:r>
              <w:rPr>
                <w:rFonts w:ascii="Arial" w:hAnsi="Arial"/>
                <w:i/>
                <w:sz w:val="12"/>
                <w:szCs w:val="18"/>
                <w:vertAlign w:val="superscript"/>
              </w:rPr>
              <w:t>(2)</w:t>
            </w:r>
            <w:r>
              <w:rPr>
                <w:rFonts w:ascii="Arial" w:hAnsi="Arial"/>
                <w:i/>
                <w:sz w:val="12"/>
                <w:szCs w:val="18"/>
              </w:rPr>
              <w:t xml:space="preserve"> Impatto IFRS 16 sulle locazioni core business</w:t>
            </w:r>
            <w:r w:rsidR="000A7A94">
              <w:rPr>
                <w:rFonts w:ascii="Arial" w:hAnsi="Arial"/>
                <w:i/>
                <w:sz w:val="12"/>
                <w:szCs w:val="18"/>
              </w:rPr>
              <w:t xml:space="preserve"> delle società controllate</w:t>
            </w:r>
          </w:p>
        </w:tc>
      </w:tr>
    </w:tbl>
    <w:p w14:paraId="3590D105" w14:textId="77777777" w:rsidR="00486DE4" w:rsidRPr="00D14232" w:rsidRDefault="00486DE4" w:rsidP="00352338">
      <w:pPr>
        <w:jc w:val="both"/>
        <w:rPr>
          <w:rFonts w:ascii="Arial" w:eastAsia="PMingLiU" w:hAnsi="Arial" w:cs="Arial"/>
          <w:sz w:val="18"/>
          <w:szCs w:val="18"/>
          <w:lang w:eastAsia="fr-FR" w:bidi="fr-FR"/>
        </w:rPr>
      </w:pPr>
    </w:p>
    <w:sectPr w:rsidR="00486DE4" w:rsidRPr="00D14232" w:rsidSect="00F7449C">
      <w:headerReference w:type="default" r:id="rId45"/>
      <w:footerReference w:type="even" r:id="rId46"/>
      <w:footerReference w:type="default" r:id="rId47"/>
      <w:footerReference w:type="first" r:id="rId48"/>
      <w:pgSz w:w="11906" w:h="16838"/>
      <w:pgMar w:top="1276" w:right="1416" w:bottom="993" w:left="1417"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620D4" w14:textId="77777777" w:rsidR="006345F5" w:rsidRDefault="006345F5">
      <w:r>
        <w:separator/>
      </w:r>
    </w:p>
  </w:endnote>
  <w:endnote w:type="continuationSeparator" w:id="0">
    <w:p w14:paraId="0AFA061D" w14:textId="77777777" w:rsidR="006345F5" w:rsidRDefault="006345F5">
      <w:r>
        <w:continuationSeparator/>
      </w:r>
    </w:p>
  </w:endnote>
  <w:endnote w:type="continuationNotice" w:id="1">
    <w:p w14:paraId="281F271D" w14:textId="77777777" w:rsidR="006345F5" w:rsidRDefault="00634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Light">
    <w:altName w:val="Arial"/>
    <w:panose1 w:val="00000000000000000000"/>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7178D" w14:textId="77777777" w:rsidR="003D30A4" w:rsidRDefault="003D30A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1</w:t>
    </w:r>
    <w:r>
      <w:rPr>
        <w:rStyle w:val="Numeropagina"/>
      </w:rPr>
      <w:fldChar w:fldCharType="end"/>
    </w:r>
  </w:p>
  <w:p w14:paraId="56CF3FA8" w14:textId="77777777" w:rsidR="003D30A4" w:rsidRDefault="003D30A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4221" w14:textId="77777777" w:rsidR="003D30A4" w:rsidRPr="00CD0E17" w:rsidRDefault="003D30A4" w:rsidP="00563A80">
    <w:pPr>
      <w:tabs>
        <w:tab w:val="center" w:pos="4536"/>
        <w:tab w:val="right" w:pos="9072"/>
      </w:tabs>
      <w:ind w:right="360"/>
      <w:jc w:val="center"/>
      <w:rPr>
        <w:i/>
        <w:sz w:val="19"/>
        <w:szCs w:val="19"/>
      </w:rPr>
    </w:pPr>
    <w:r>
      <w:rPr>
        <w:i/>
        <w:sz w:val="19"/>
      </w:rPr>
      <w:t xml:space="preserve">- </w:t>
    </w:r>
    <w:r w:rsidRPr="00CD0E17">
      <w:rPr>
        <w:i/>
        <w:sz w:val="19"/>
        <w:szCs w:val="19"/>
      </w:rPr>
      <w:fldChar w:fldCharType="begin"/>
    </w:r>
    <w:r w:rsidRPr="00CD0E17">
      <w:rPr>
        <w:i/>
        <w:sz w:val="19"/>
        <w:szCs w:val="19"/>
      </w:rPr>
      <w:instrText xml:space="preserve"> PAGE \*ARABIC </w:instrText>
    </w:r>
    <w:r w:rsidRPr="00CD0E17">
      <w:rPr>
        <w:i/>
        <w:sz w:val="19"/>
        <w:szCs w:val="19"/>
      </w:rPr>
      <w:fldChar w:fldCharType="separate"/>
    </w:r>
    <w:r>
      <w:rPr>
        <w:i/>
        <w:noProof/>
        <w:sz w:val="19"/>
        <w:szCs w:val="19"/>
      </w:rPr>
      <w:t>2</w:t>
    </w:r>
    <w:r w:rsidRPr="00CD0E17">
      <w:rPr>
        <w:i/>
        <w:sz w:val="19"/>
        <w:szCs w:val="19"/>
      </w:rPr>
      <w:fldChar w:fldCharType="end"/>
    </w:r>
    <w:r>
      <w:rPr>
        <w:i/>
        <w:sz w:val="19"/>
      </w:rPr>
      <w:t xml:space="preserve"> - </w:t>
    </w:r>
  </w:p>
  <w:p w14:paraId="5884BD49" w14:textId="77777777" w:rsidR="003D30A4" w:rsidRDefault="003D30A4" w:rsidP="00563A80">
    <w:pPr>
      <w:pStyle w:val="Pidipagina"/>
      <w:ind w:firstLine="1440"/>
    </w:pPr>
  </w:p>
  <w:p w14:paraId="775E766D" w14:textId="77777777" w:rsidR="003D30A4" w:rsidRDefault="003D30A4">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301B3" w14:textId="77777777" w:rsidR="003D30A4" w:rsidRDefault="003D30A4" w:rsidP="004F6800">
    <w:pPr>
      <w:pStyle w:val="Pidipagina"/>
      <w:ind w:left="1134"/>
    </w:pPr>
    <w:r>
      <w:rPr>
        <w:noProof/>
        <w:lang w:eastAsia="it-IT" w:bidi="ar-SA"/>
      </w:rPr>
      <w:drawing>
        <wp:inline distT="0" distB="0" distL="0" distR="0" wp14:anchorId="1B1EC20F" wp14:editId="0607752C">
          <wp:extent cx="5753100" cy="9429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42975"/>
                  </a:xfrm>
                  <a:prstGeom prst="rect">
                    <a:avLst/>
                  </a:prstGeom>
                  <a:noFill/>
                  <a:ln>
                    <a:noFill/>
                  </a:ln>
                </pic:spPr>
              </pic:pic>
            </a:graphicData>
          </a:graphic>
        </wp:inline>
      </w:drawing>
    </w:r>
  </w:p>
  <w:p w14:paraId="613514A8" w14:textId="77777777" w:rsidR="003D30A4" w:rsidRPr="004F6800" w:rsidRDefault="003D30A4" w:rsidP="004F6800">
    <w:pPr>
      <w:pStyle w:val="Pidipagina"/>
      <w:ind w:left="1134"/>
      <w:rPr>
        <w:sz w:val="16"/>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71EE1" w14:textId="77777777" w:rsidR="006345F5" w:rsidRDefault="006345F5">
      <w:r>
        <w:separator/>
      </w:r>
    </w:p>
  </w:footnote>
  <w:footnote w:type="continuationSeparator" w:id="0">
    <w:p w14:paraId="333F1812" w14:textId="77777777" w:rsidR="006345F5" w:rsidRDefault="006345F5">
      <w:r>
        <w:continuationSeparator/>
      </w:r>
    </w:p>
  </w:footnote>
  <w:footnote w:type="continuationNotice" w:id="1">
    <w:p w14:paraId="766C5EAF" w14:textId="77777777" w:rsidR="006345F5" w:rsidRDefault="00634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38453" w14:textId="77777777" w:rsidR="003D30A4" w:rsidRDefault="003D30A4" w:rsidP="004858CF">
    <w:pPr>
      <w:pStyle w:val="Intestazione"/>
      <w:ind w:left="851"/>
    </w:pPr>
    <w:r>
      <w:rPr>
        <w:noProof/>
        <w:lang w:eastAsia="it-IT" w:bidi="ar-SA"/>
      </w:rPr>
      <w:drawing>
        <wp:inline distT="0" distB="0" distL="0" distR="0" wp14:anchorId="10D2FA23" wp14:editId="08D2D414">
          <wp:extent cx="1980000" cy="933782"/>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CDECAUX P.png"/>
                  <pic:cNvPicPr/>
                </pic:nvPicPr>
                <pic:blipFill>
                  <a:blip r:embed="rId1">
                    <a:extLst>
                      <a:ext uri="{28A0092B-C50C-407E-A947-70E740481C1C}">
                        <a14:useLocalDpi xmlns:a14="http://schemas.microsoft.com/office/drawing/2010/main" val="0"/>
                      </a:ext>
                    </a:extLst>
                  </a:blip>
                  <a:stretch>
                    <a:fillRect/>
                  </a:stretch>
                </pic:blipFill>
                <pic:spPr>
                  <a:xfrm>
                    <a:off x="0" y="0"/>
                    <a:ext cx="1980000" cy="9337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F845504"/>
    <w:lvl w:ilvl="0">
      <w:start w:val="1"/>
      <w:numFmt w:val="bullet"/>
      <w:pStyle w:val="Puntoelenco2"/>
      <w:lvlText w:val=""/>
      <w:lvlJc w:val="left"/>
      <w:pPr>
        <w:tabs>
          <w:tab w:val="num" w:pos="643"/>
        </w:tabs>
        <w:ind w:left="643" w:hanging="360"/>
      </w:pPr>
      <w:rPr>
        <w:rFonts w:ascii="Symbol" w:hAnsi="Symbol" w:hint="default"/>
      </w:rPr>
    </w:lvl>
  </w:abstractNum>
  <w:abstractNum w:abstractNumId="1" w15:restartNumberingAfterBreak="0">
    <w:nsid w:val="0000000A"/>
    <w:multiLevelType w:val="singleLevel"/>
    <w:tmpl w:val="0000000A"/>
    <w:name w:val="WW8Num21"/>
    <w:lvl w:ilvl="0">
      <w:start w:val="1"/>
      <w:numFmt w:val="decimal"/>
      <w:lvlText w:val="(%1)"/>
      <w:lvlJc w:val="left"/>
      <w:pPr>
        <w:tabs>
          <w:tab w:val="num" w:pos="870"/>
        </w:tabs>
      </w:pPr>
    </w:lvl>
  </w:abstractNum>
  <w:abstractNum w:abstractNumId="2" w15:restartNumberingAfterBreak="0">
    <w:nsid w:val="074A5E2F"/>
    <w:multiLevelType w:val="hybridMultilevel"/>
    <w:tmpl w:val="0EA6680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10251"/>
    <w:multiLevelType w:val="hybridMultilevel"/>
    <w:tmpl w:val="1D00DEBA"/>
    <w:lvl w:ilvl="0" w:tplc="494C8030">
      <w:numFmt w:val="bullet"/>
      <w:lvlText w:val="-"/>
      <w:lvlJc w:val="left"/>
      <w:pPr>
        <w:ind w:left="1778" w:hanging="360"/>
      </w:pPr>
      <w:rPr>
        <w:rFonts w:ascii="Arial" w:eastAsia="Times"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 w15:restartNumberingAfterBreak="0">
    <w:nsid w:val="0E463DAF"/>
    <w:multiLevelType w:val="hybridMultilevel"/>
    <w:tmpl w:val="477CF222"/>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5" w15:restartNumberingAfterBreak="0">
    <w:nsid w:val="1BFB27B0"/>
    <w:multiLevelType w:val="hybridMultilevel"/>
    <w:tmpl w:val="A32078A6"/>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 w15:restartNumberingAfterBreak="0">
    <w:nsid w:val="1F2A507F"/>
    <w:multiLevelType w:val="hybridMultilevel"/>
    <w:tmpl w:val="D16A83CC"/>
    <w:lvl w:ilvl="0" w:tplc="040C0005">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7" w15:restartNumberingAfterBreak="0">
    <w:nsid w:val="224A1745"/>
    <w:multiLevelType w:val="hybridMultilevel"/>
    <w:tmpl w:val="40C2C6D2"/>
    <w:lvl w:ilvl="0" w:tplc="97120040">
      <w:start w:val="1"/>
      <w:numFmt w:val="lowerLetter"/>
      <w:lvlText w:val="(%1)"/>
      <w:lvlJc w:val="left"/>
      <w:pPr>
        <w:ind w:left="2062" w:hanging="360"/>
      </w:pPr>
      <w:rPr>
        <w:rFonts w:hint="default"/>
        <w:lang w:val="fr-FR"/>
      </w:rPr>
    </w:lvl>
    <w:lvl w:ilvl="1" w:tplc="040C0019" w:tentative="1">
      <w:start w:val="1"/>
      <w:numFmt w:val="lowerLetter"/>
      <w:lvlText w:val="%2."/>
      <w:lvlJc w:val="left"/>
      <w:pPr>
        <w:ind w:left="1235" w:hanging="360"/>
      </w:pPr>
    </w:lvl>
    <w:lvl w:ilvl="2" w:tplc="040C001B" w:tentative="1">
      <w:start w:val="1"/>
      <w:numFmt w:val="lowerRoman"/>
      <w:lvlText w:val="%3."/>
      <w:lvlJc w:val="right"/>
      <w:pPr>
        <w:ind w:left="1955" w:hanging="180"/>
      </w:pPr>
    </w:lvl>
    <w:lvl w:ilvl="3" w:tplc="040C000F" w:tentative="1">
      <w:start w:val="1"/>
      <w:numFmt w:val="decimal"/>
      <w:lvlText w:val="%4."/>
      <w:lvlJc w:val="left"/>
      <w:pPr>
        <w:ind w:left="2675" w:hanging="360"/>
      </w:pPr>
    </w:lvl>
    <w:lvl w:ilvl="4" w:tplc="040C0019" w:tentative="1">
      <w:start w:val="1"/>
      <w:numFmt w:val="lowerLetter"/>
      <w:lvlText w:val="%5."/>
      <w:lvlJc w:val="left"/>
      <w:pPr>
        <w:ind w:left="3395" w:hanging="360"/>
      </w:pPr>
    </w:lvl>
    <w:lvl w:ilvl="5" w:tplc="040C001B" w:tentative="1">
      <w:start w:val="1"/>
      <w:numFmt w:val="lowerRoman"/>
      <w:lvlText w:val="%6."/>
      <w:lvlJc w:val="right"/>
      <w:pPr>
        <w:ind w:left="4115" w:hanging="180"/>
      </w:pPr>
    </w:lvl>
    <w:lvl w:ilvl="6" w:tplc="040C000F" w:tentative="1">
      <w:start w:val="1"/>
      <w:numFmt w:val="decimal"/>
      <w:lvlText w:val="%7."/>
      <w:lvlJc w:val="left"/>
      <w:pPr>
        <w:ind w:left="4835" w:hanging="360"/>
      </w:pPr>
    </w:lvl>
    <w:lvl w:ilvl="7" w:tplc="040C0019" w:tentative="1">
      <w:start w:val="1"/>
      <w:numFmt w:val="lowerLetter"/>
      <w:lvlText w:val="%8."/>
      <w:lvlJc w:val="left"/>
      <w:pPr>
        <w:ind w:left="5555" w:hanging="360"/>
      </w:pPr>
    </w:lvl>
    <w:lvl w:ilvl="8" w:tplc="040C001B" w:tentative="1">
      <w:start w:val="1"/>
      <w:numFmt w:val="lowerRoman"/>
      <w:lvlText w:val="%9."/>
      <w:lvlJc w:val="right"/>
      <w:pPr>
        <w:ind w:left="6275" w:hanging="180"/>
      </w:pPr>
    </w:lvl>
  </w:abstractNum>
  <w:abstractNum w:abstractNumId="8" w15:restartNumberingAfterBreak="0">
    <w:nsid w:val="2565538C"/>
    <w:multiLevelType w:val="hybridMultilevel"/>
    <w:tmpl w:val="963CE566"/>
    <w:lvl w:ilvl="0" w:tplc="D3169F8E">
      <w:numFmt w:val="bullet"/>
      <w:lvlText w:val="-"/>
      <w:lvlJc w:val="left"/>
      <w:pPr>
        <w:ind w:left="1494" w:hanging="360"/>
      </w:pPr>
      <w:rPr>
        <w:rFonts w:ascii="Arial" w:eastAsia="Times"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28E2153C"/>
    <w:multiLevelType w:val="hybridMultilevel"/>
    <w:tmpl w:val="305A662C"/>
    <w:lvl w:ilvl="0" w:tplc="7E981BDC">
      <w:start w:val="1"/>
      <w:numFmt w:val="decimal"/>
      <w:lvlText w:val="(%1)"/>
      <w:lvlJc w:val="left"/>
      <w:pPr>
        <w:tabs>
          <w:tab w:val="num" w:pos="1907"/>
        </w:tabs>
        <w:ind w:left="1907" w:hanging="360"/>
      </w:pPr>
      <w:rPr>
        <w:rFonts w:hint="default"/>
        <w:b/>
      </w:rPr>
    </w:lvl>
    <w:lvl w:ilvl="1" w:tplc="040C0019" w:tentative="1">
      <w:start w:val="1"/>
      <w:numFmt w:val="lowerLetter"/>
      <w:lvlText w:val="%2."/>
      <w:lvlJc w:val="left"/>
      <w:pPr>
        <w:tabs>
          <w:tab w:val="num" w:pos="2627"/>
        </w:tabs>
        <w:ind w:left="2627" w:hanging="360"/>
      </w:pPr>
    </w:lvl>
    <w:lvl w:ilvl="2" w:tplc="040C001B" w:tentative="1">
      <w:start w:val="1"/>
      <w:numFmt w:val="lowerRoman"/>
      <w:lvlText w:val="%3."/>
      <w:lvlJc w:val="right"/>
      <w:pPr>
        <w:tabs>
          <w:tab w:val="num" w:pos="3347"/>
        </w:tabs>
        <w:ind w:left="3347" w:hanging="180"/>
      </w:pPr>
    </w:lvl>
    <w:lvl w:ilvl="3" w:tplc="040C000F" w:tentative="1">
      <w:start w:val="1"/>
      <w:numFmt w:val="decimal"/>
      <w:lvlText w:val="%4."/>
      <w:lvlJc w:val="left"/>
      <w:pPr>
        <w:tabs>
          <w:tab w:val="num" w:pos="4067"/>
        </w:tabs>
        <w:ind w:left="4067" w:hanging="360"/>
      </w:pPr>
    </w:lvl>
    <w:lvl w:ilvl="4" w:tplc="040C0019" w:tentative="1">
      <w:start w:val="1"/>
      <w:numFmt w:val="lowerLetter"/>
      <w:lvlText w:val="%5."/>
      <w:lvlJc w:val="left"/>
      <w:pPr>
        <w:tabs>
          <w:tab w:val="num" w:pos="4787"/>
        </w:tabs>
        <w:ind w:left="4787" w:hanging="360"/>
      </w:pPr>
    </w:lvl>
    <w:lvl w:ilvl="5" w:tplc="040C001B" w:tentative="1">
      <w:start w:val="1"/>
      <w:numFmt w:val="lowerRoman"/>
      <w:lvlText w:val="%6."/>
      <w:lvlJc w:val="right"/>
      <w:pPr>
        <w:tabs>
          <w:tab w:val="num" w:pos="5507"/>
        </w:tabs>
        <w:ind w:left="5507" w:hanging="180"/>
      </w:pPr>
    </w:lvl>
    <w:lvl w:ilvl="6" w:tplc="040C000F" w:tentative="1">
      <w:start w:val="1"/>
      <w:numFmt w:val="decimal"/>
      <w:lvlText w:val="%7."/>
      <w:lvlJc w:val="left"/>
      <w:pPr>
        <w:tabs>
          <w:tab w:val="num" w:pos="6227"/>
        </w:tabs>
        <w:ind w:left="6227" w:hanging="360"/>
      </w:pPr>
    </w:lvl>
    <w:lvl w:ilvl="7" w:tplc="040C0019" w:tentative="1">
      <w:start w:val="1"/>
      <w:numFmt w:val="lowerLetter"/>
      <w:lvlText w:val="%8."/>
      <w:lvlJc w:val="left"/>
      <w:pPr>
        <w:tabs>
          <w:tab w:val="num" w:pos="6947"/>
        </w:tabs>
        <w:ind w:left="6947" w:hanging="360"/>
      </w:pPr>
    </w:lvl>
    <w:lvl w:ilvl="8" w:tplc="040C001B" w:tentative="1">
      <w:start w:val="1"/>
      <w:numFmt w:val="lowerRoman"/>
      <w:lvlText w:val="%9."/>
      <w:lvlJc w:val="right"/>
      <w:pPr>
        <w:tabs>
          <w:tab w:val="num" w:pos="7667"/>
        </w:tabs>
        <w:ind w:left="7667" w:hanging="180"/>
      </w:pPr>
    </w:lvl>
  </w:abstractNum>
  <w:abstractNum w:abstractNumId="10" w15:restartNumberingAfterBreak="0">
    <w:nsid w:val="2A0A016D"/>
    <w:multiLevelType w:val="hybridMultilevel"/>
    <w:tmpl w:val="BE74E036"/>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 w15:restartNumberingAfterBreak="0">
    <w:nsid w:val="2B156D6F"/>
    <w:multiLevelType w:val="hybridMultilevel"/>
    <w:tmpl w:val="0BC4D090"/>
    <w:lvl w:ilvl="0" w:tplc="040C0019">
      <w:start w:val="1"/>
      <w:numFmt w:val="lowerLetter"/>
      <w:lvlText w:val="%1."/>
      <w:lvlJc w:val="left"/>
      <w:pPr>
        <w:ind w:left="2267" w:hanging="360"/>
      </w:pPr>
    </w:lvl>
    <w:lvl w:ilvl="1" w:tplc="040C0019" w:tentative="1">
      <w:start w:val="1"/>
      <w:numFmt w:val="lowerLetter"/>
      <w:lvlText w:val="%2."/>
      <w:lvlJc w:val="left"/>
      <w:pPr>
        <w:ind w:left="2987" w:hanging="360"/>
      </w:pPr>
    </w:lvl>
    <w:lvl w:ilvl="2" w:tplc="040C001B" w:tentative="1">
      <w:start w:val="1"/>
      <w:numFmt w:val="lowerRoman"/>
      <w:lvlText w:val="%3."/>
      <w:lvlJc w:val="right"/>
      <w:pPr>
        <w:ind w:left="3707" w:hanging="180"/>
      </w:pPr>
    </w:lvl>
    <w:lvl w:ilvl="3" w:tplc="040C000F" w:tentative="1">
      <w:start w:val="1"/>
      <w:numFmt w:val="decimal"/>
      <w:lvlText w:val="%4."/>
      <w:lvlJc w:val="left"/>
      <w:pPr>
        <w:ind w:left="4427" w:hanging="360"/>
      </w:pPr>
    </w:lvl>
    <w:lvl w:ilvl="4" w:tplc="040C0019" w:tentative="1">
      <w:start w:val="1"/>
      <w:numFmt w:val="lowerLetter"/>
      <w:lvlText w:val="%5."/>
      <w:lvlJc w:val="left"/>
      <w:pPr>
        <w:ind w:left="5147" w:hanging="360"/>
      </w:pPr>
    </w:lvl>
    <w:lvl w:ilvl="5" w:tplc="040C001B" w:tentative="1">
      <w:start w:val="1"/>
      <w:numFmt w:val="lowerRoman"/>
      <w:lvlText w:val="%6."/>
      <w:lvlJc w:val="right"/>
      <w:pPr>
        <w:ind w:left="5867" w:hanging="180"/>
      </w:pPr>
    </w:lvl>
    <w:lvl w:ilvl="6" w:tplc="040C000F" w:tentative="1">
      <w:start w:val="1"/>
      <w:numFmt w:val="decimal"/>
      <w:lvlText w:val="%7."/>
      <w:lvlJc w:val="left"/>
      <w:pPr>
        <w:ind w:left="6587" w:hanging="360"/>
      </w:pPr>
    </w:lvl>
    <w:lvl w:ilvl="7" w:tplc="040C0019" w:tentative="1">
      <w:start w:val="1"/>
      <w:numFmt w:val="lowerLetter"/>
      <w:lvlText w:val="%8."/>
      <w:lvlJc w:val="left"/>
      <w:pPr>
        <w:ind w:left="7307" w:hanging="360"/>
      </w:pPr>
    </w:lvl>
    <w:lvl w:ilvl="8" w:tplc="040C001B" w:tentative="1">
      <w:start w:val="1"/>
      <w:numFmt w:val="lowerRoman"/>
      <w:lvlText w:val="%9."/>
      <w:lvlJc w:val="right"/>
      <w:pPr>
        <w:ind w:left="8027" w:hanging="180"/>
      </w:pPr>
    </w:lvl>
  </w:abstractNum>
  <w:abstractNum w:abstractNumId="12" w15:restartNumberingAfterBreak="0">
    <w:nsid w:val="389C721D"/>
    <w:multiLevelType w:val="hybridMultilevel"/>
    <w:tmpl w:val="33F6D614"/>
    <w:lvl w:ilvl="0" w:tplc="C706B14E">
      <w:start w:val="1"/>
      <w:numFmt w:val="lowerLetter"/>
      <w:lvlText w:val="%1."/>
      <w:lvlJc w:val="left"/>
      <w:pPr>
        <w:ind w:left="226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B526BB0"/>
    <w:multiLevelType w:val="hybridMultilevel"/>
    <w:tmpl w:val="0B587DB2"/>
    <w:lvl w:ilvl="0" w:tplc="494C8030">
      <w:numFmt w:val="bullet"/>
      <w:lvlText w:val="-"/>
      <w:lvlJc w:val="left"/>
      <w:pPr>
        <w:ind w:left="1778" w:hanging="360"/>
      </w:pPr>
      <w:rPr>
        <w:rFonts w:ascii="Arial" w:eastAsia="Times"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4" w15:restartNumberingAfterBreak="0">
    <w:nsid w:val="463D5AA2"/>
    <w:multiLevelType w:val="hybridMultilevel"/>
    <w:tmpl w:val="B08C98C8"/>
    <w:lvl w:ilvl="0" w:tplc="9AB2297C">
      <w:start w:val="1"/>
      <w:numFmt w:val="decimal"/>
      <w:lvlText w:val="(%1)"/>
      <w:lvlJc w:val="left"/>
      <w:pPr>
        <w:ind w:left="360" w:hanging="360"/>
      </w:pPr>
      <w:rPr>
        <w:rFonts w:hint="default"/>
        <w:i/>
        <w:sz w:val="1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6F151E3"/>
    <w:multiLevelType w:val="hybridMultilevel"/>
    <w:tmpl w:val="BF54731A"/>
    <w:lvl w:ilvl="0" w:tplc="4418CB46">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A0A2BAF"/>
    <w:multiLevelType w:val="hybridMultilevel"/>
    <w:tmpl w:val="AB509C50"/>
    <w:lvl w:ilvl="0" w:tplc="97120040">
      <w:start w:val="1"/>
      <w:numFmt w:val="lowerLetter"/>
      <w:lvlText w:val="(%1)"/>
      <w:lvlJc w:val="left"/>
      <w:pPr>
        <w:ind w:left="2267" w:hanging="360"/>
      </w:pPr>
      <w:rPr>
        <w:rFonts w:hint="default"/>
      </w:rPr>
    </w:lvl>
    <w:lvl w:ilvl="1" w:tplc="040C0019" w:tentative="1">
      <w:start w:val="1"/>
      <w:numFmt w:val="lowerLetter"/>
      <w:lvlText w:val="%2."/>
      <w:lvlJc w:val="left"/>
      <w:pPr>
        <w:ind w:left="2987" w:hanging="360"/>
      </w:pPr>
    </w:lvl>
    <w:lvl w:ilvl="2" w:tplc="040C001B" w:tentative="1">
      <w:start w:val="1"/>
      <w:numFmt w:val="lowerRoman"/>
      <w:lvlText w:val="%3."/>
      <w:lvlJc w:val="right"/>
      <w:pPr>
        <w:ind w:left="3707" w:hanging="180"/>
      </w:pPr>
    </w:lvl>
    <w:lvl w:ilvl="3" w:tplc="040C000F" w:tentative="1">
      <w:start w:val="1"/>
      <w:numFmt w:val="decimal"/>
      <w:lvlText w:val="%4."/>
      <w:lvlJc w:val="left"/>
      <w:pPr>
        <w:ind w:left="4427" w:hanging="360"/>
      </w:pPr>
    </w:lvl>
    <w:lvl w:ilvl="4" w:tplc="040C0019" w:tentative="1">
      <w:start w:val="1"/>
      <w:numFmt w:val="lowerLetter"/>
      <w:lvlText w:val="%5."/>
      <w:lvlJc w:val="left"/>
      <w:pPr>
        <w:ind w:left="5147" w:hanging="360"/>
      </w:pPr>
    </w:lvl>
    <w:lvl w:ilvl="5" w:tplc="040C001B" w:tentative="1">
      <w:start w:val="1"/>
      <w:numFmt w:val="lowerRoman"/>
      <w:lvlText w:val="%6."/>
      <w:lvlJc w:val="right"/>
      <w:pPr>
        <w:ind w:left="5867" w:hanging="180"/>
      </w:pPr>
    </w:lvl>
    <w:lvl w:ilvl="6" w:tplc="040C000F" w:tentative="1">
      <w:start w:val="1"/>
      <w:numFmt w:val="decimal"/>
      <w:lvlText w:val="%7."/>
      <w:lvlJc w:val="left"/>
      <w:pPr>
        <w:ind w:left="6587" w:hanging="360"/>
      </w:pPr>
    </w:lvl>
    <w:lvl w:ilvl="7" w:tplc="040C0019" w:tentative="1">
      <w:start w:val="1"/>
      <w:numFmt w:val="lowerLetter"/>
      <w:lvlText w:val="%8."/>
      <w:lvlJc w:val="left"/>
      <w:pPr>
        <w:ind w:left="7307" w:hanging="360"/>
      </w:pPr>
    </w:lvl>
    <w:lvl w:ilvl="8" w:tplc="040C001B" w:tentative="1">
      <w:start w:val="1"/>
      <w:numFmt w:val="lowerRoman"/>
      <w:lvlText w:val="%9."/>
      <w:lvlJc w:val="right"/>
      <w:pPr>
        <w:ind w:left="8027" w:hanging="180"/>
      </w:pPr>
    </w:lvl>
  </w:abstractNum>
  <w:abstractNum w:abstractNumId="17" w15:restartNumberingAfterBreak="0">
    <w:nsid w:val="4AF156E2"/>
    <w:multiLevelType w:val="hybridMultilevel"/>
    <w:tmpl w:val="2BDCEA40"/>
    <w:lvl w:ilvl="0" w:tplc="494C8030">
      <w:numFmt w:val="bullet"/>
      <w:lvlText w:val="-"/>
      <w:lvlJc w:val="left"/>
      <w:pPr>
        <w:tabs>
          <w:tab w:val="num" w:pos="360"/>
        </w:tabs>
        <w:ind w:left="360" w:hanging="360"/>
      </w:pPr>
      <w:rPr>
        <w:rFonts w:ascii="Arial" w:eastAsia="Times"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F437B1"/>
    <w:multiLevelType w:val="hybridMultilevel"/>
    <w:tmpl w:val="2BA4860E"/>
    <w:lvl w:ilvl="0" w:tplc="BCDA9A12">
      <w:start w:val="1"/>
      <w:numFmt w:val="lowerLetter"/>
      <w:lvlText w:val="(%1)"/>
      <w:lvlJc w:val="left"/>
      <w:pPr>
        <w:ind w:left="1920" w:hanging="360"/>
      </w:pPr>
      <w:rPr>
        <w:rFonts w:hint="default"/>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19" w15:restartNumberingAfterBreak="0">
    <w:nsid w:val="52B41CA2"/>
    <w:multiLevelType w:val="hybridMultilevel"/>
    <w:tmpl w:val="E950313C"/>
    <w:lvl w:ilvl="0" w:tplc="91F841C0">
      <w:start w:val="1"/>
      <w:numFmt w:val="lowerLetter"/>
      <w:lvlText w:val="%1."/>
      <w:lvlJc w:val="left"/>
      <w:pPr>
        <w:tabs>
          <w:tab w:val="num" w:pos="1907"/>
        </w:tabs>
        <w:ind w:left="1907" w:hanging="360"/>
      </w:pPr>
      <w:rPr>
        <w:rFonts w:hint="default"/>
      </w:rPr>
    </w:lvl>
    <w:lvl w:ilvl="1" w:tplc="040C0019" w:tentative="1">
      <w:start w:val="1"/>
      <w:numFmt w:val="lowerLetter"/>
      <w:lvlText w:val="%2."/>
      <w:lvlJc w:val="left"/>
      <w:pPr>
        <w:ind w:left="2987" w:hanging="360"/>
      </w:pPr>
    </w:lvl>
    <w:lvl w:ilvl="2" w:tplc="040C001B" w:tentative="1">
      <w:start w:val="1"/>
      <w:numFmt w:val="lowerRoman"/>
      <w:lvlText w:val="%3."/>
      <w:lvlJc w:val="right"/>
      <w:pPr>
        <w:ind w:left="3707" w:hanging="180"/>
      </w:pPr>
    </w:lvl>
    <w:lvl w:ilvl="3" w:tplc="040C000F" w:tentative="1">
      <w:start w:val="1"/>
      <w:numFmt w:val="decimal"/>
      <w:lvlText w:val="%4."/>
      <w:lvlJc w:val="left"/>
      <w:pPr>
        <w:ind w:left="4427" w:hanging="360"/>
      </w:pPr>
    </w:lvl>
    <w:lvl w:ilvl="4" w:tplc="040C0019" w:tentative="1">
      <w:start w:val="1"/>
      <w:numFmt w:val="lowerLetter"/>
      <w:lvlText w:val="%5."/>
      <w:lvlJc w:val="left"/>
      <w:pPr>
        <w:ind w:left="5147" w:hanging="360"/>
      </w:pPr>
    </w:lvl>
    <w:lvl w:ilvl="5" w:tplc="040C001B" w:tentative="1">
      <w:start w:val="1"/>
      <w:numFmt w:val="lowerRoman"/>
      <w:lvlText w:val="%6."/>
      <w:lvlJc w:val="right"/>
      <w:pPr>
        <w:ind w:left="5867" w:hanging="180"/>
      </w:pPr>
    </w:lvl>
    <w:lvl w:ilvl="6" w:tplc="040C000F" w:tentative="1">
      <w:start w:val="1"/>
      <w:numFmt w:val="decimal"/>
      <w:lvlText w:val="%7."/>
      <w:lvlJc w:val="left"/>
      <w:pPr>
        <w:ind w:left="6587" w:hanging="360"/>
      </w:pPr>
    </w:lvl>
    <w:lvl w:ilvl="7" w:tplc="040C0019" w:tentative="1">
      <w:start w:val="1"/>
      <w:numFmt w:val="lowerLetter"/>
      <w:lvlText w:val="%8."/>
      <w:lvlJc w:val="left"/>
      <w:pPr>
        <w:ind w:left="7307" w:hanging="360"/>
      </w:pPr>
    </w:lvl>
    <w:lvl w:ilvl="8" w:tplc="040C001B" w:tentative="1">
      <w:start w:val="1"/>
      <w:numFmt w:val="lowerRoman"/>
      <w:lvlText w:val="%9."/>
      <w:lvlJc w:val="right"/>
      <w:pPr>
        <w:ind w:left="8027" w:hanging="180"/>
      </w:pPr>
    </w:lvl>
  </w:abstractNum>
  <w:abstractNum w:abstractNumId="20" w15:restartNumberingAfterBreak="0">
    <w:nsid w:val="536E6038"/>
    <w:multiLevelType w:val="hybridMultilevel"/>
    <w:tmpl w:val="E950313C"/>
    <w:lvl w:ilvl="0" w:tplc="91F841C0">
      <w:start w:val="1"/>
      <w:numFmt w:val="lowerLetter"/>
      <w:lvlText w:val="%1."/>
      <w:lvlJc w:val="left"/>
      <w:pPr>
        <w:tabs>
          <w:tab w:val="num" w:pos="1907"/>
        </w:tabs>
        <w:ind w:left="1907" w:hanging="360"/>
      </w:pPr>
      <w:rPr>
        <w:rFonts w:hint="default"/>
      </w:rPr>
    </w:lvl>
    <w:lvl w:ilvl="1" w:tplc="040C0019" w:tentative="1">
      <w:start w:val="1"/>
      <w:numFmt w:val="lowerLetter"/>
      <w:lvlText w:val="%2."/>
      <w:lvlJc w:val="left"/>
      <w:pPr>
        <w:ind w:left="2987" w:hanging="360"/>
      </w:pPr>
    </w:lvl>
    <w:lvl w:ilvl="2" w:tplc="040C001B" w:tentative="1">
      <w:start w:val="1"/>
      <w:numFmt w:val="lowerRoman"/>
      <w:lvlText w:val="%3."/>
      <w:lvlJc w:val="right"/>
      <w:pPr>
        <w:ind w:left="3707" w:hanging="180"/>
      </w:pPr>
    </w:lvl>
    <w:lvl w:ilvl="3" w:tplc="040C000F" w:tentative="1">
      <w:start w:val="1"/>
      <w:numFmt w:val="decimal"/>
      <w:lvlText w:val="%4."/>
      <w:lvlJc w:val="left"/>
      <w:pPr>
        <w:ind w:left="4427" w:hanging="360"/>
      </w:pPr>
    </w:lvl>
    <w:lvl w:ilvl="4" w:tplc="040C0019" w:tentative="1">
      <w:start w:val="1"/>
      <w:numFmt w:val="lowerLetter"/>
      <w:lvlText w:val="%5."/>
      <w:lvlJc w:val="left"/>
      <w:pPr>
        <w:ind w:left="5147" w:hanging="360"/>
      </w:pPr>
    </w:lvl>
    <w:lvl w:ilvl="5" w:tplc="040C001B" w:tentative="1">
      <w:start w:val="1"/>
      <w:numFmt w:val="lowerRoman"/>
      <w:lvlText w:val="%6."/>
      <w:lvlJc w:val="right"/>
      <w:pPr>
        <w:ind w:left="5867" w:hanging="180"/>
      </w:pPr>
    </w:lvl>
    <w:lvl w:ilvl="6" w:tplc="040C000F" w:tentative="1">
      <w:start w:val="1"/>
      <w:numFmt w:val="decimal"/>
      <w:lvlText w:val="%7."/>
      <w:lvlJc w:val="left"/>
      <w:pPr>
        <w:ind w:left="6587" w:hanging="360"/>
      </w:pPr>
    </w:lvl>
    <w:lvl w:ilvl="7" w:tplc="040C0019" w:tentative="1">
      <w:start w:val="1"/>
      <w:numFmt w:val="lowerLetter"/>
      <w:lvlText w:val="%8."/>
      <w:lvlJc w:val="left"/>
      <w:pPr>
        <w:ind w:left="7307" w:hanging="360"/>
      </w:pPr>
    </w:lvl>
    <w:lvl w:ilvl="8" w:tplc="040C001B" w:tentative="1">
      <w:start w:val="1"/>
      <w:numFmt w:val="lowerRoman"/>
      <w:lvlText w:val="%9."/>
      <w:lvlJc w:val="right"/>
      <w:pPr>
        <w:ind w:left="8027" w:hanging="180"/>
      </w:pPr>
    </w:lvl>
  </w:abstractNum>
  <w:abstractNum w:abstractNumId="21" w15:restartNumberingAfterBreak="0">
    <w:nsid w:val="579707BF"/>
    <w:multiLevelType w:val="hybridMultilevel"/>
    <w:tmpl w:val="D1926FC6"/>
    <w:lvl w:ilvl="0" w:tplc="494C8030">
      <w:numFmt w:val="bullet"/>
      <w:lvlText w:val="-"/>
      <w:lvlJc w:val="left"/>
      <w:pPr>
        <w:ind w:left="1778" w:hanging="360"/>
      </w:pPr>
      <w:rPr>
        <w:rFonts w:ascii="Arial" w:eastAsia="Times"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2" w15:restartNumberingAfterBreak="0">
    <w:nsid w:val="722307AF"/>
    <w:multiLevelType w:val="hybridMultilevel"/>
    <w:tmpl w:val="E950313C"/>
    <w:name w:val="WW8Num332"/>
    <w:lvl w:ilvl="0" w:tplc="91F841C0">
      <w:start w:val="1"/>
      <w:numFmt w:val="lowerLetter"/>
      <w:lvlText w:val="%1."/>
      <w:lvlJc w:val="left"/>
      <w:pPr>
        <w:tabs>
          <w:tab w:val="num" w:pos="1907"/>
        </w:tabs>
        <w:ind w:left="1907" w:hanging="360"/>
      </w:pPr>
      <w:rPr>
        <w:rFonts w:hint="default"/>
      </w:rPr>
    </w:lvl>
    <w:lvl w:ilvl="1" w:tplc="040C0019" w:tentative="1">
      <w:start w:val="1"/>
      <w:numFmt w:val="lowerLetter"/>
      <w:lvlText w:val="%2."/>
      <w:lvlJc w:val="left"/>
      <w:pPr>
        <w:ind w:left="2987" w:hanging="360"/>
      </w:pPr>
    </w:lvl>
    <w:lvl w:ilvl="2" w:tplc="040C001B" w:tentative="1">
      <w:start w:val="1"/>
      <w:numFmt w:val="lowerRoman"/>
      <w:lvlText w:val="%3."/>
      <w:lvlJc w:val="right"/>
      <w:pPr>
        <w:ind w:left="3707" w:hanging="180"/>
      </w:pPr>
    </w:lvl>
    <w:lvl w:ilvl="3" w:tplc="040C000F" w:tentative="1">
      <w:start w:val="1"/>
      <w:numFmt w:val="decimal"/>
      <w:lvlText w:val="%4."/>
      <w:lvlJc w:val="left"/>
      <w:pPr>
        <w:ind w:left="4427" w:hanging="360"/>
      </w:pPr>
    </w:lvl>
    <w:lvl w:ilvl="4" w:tplc="040C0019" w:tentative="1">
      <w:start w:val="1"/>
      <w:numFmt w:val="lowerLetter"/>
      <w:lvlText w:val="%5."/>
      <w:lvlJc w:val="left"/>
      <w:pPr>
        <w:ind w:left="5147" w:hanging="360"/>
      </w:pPr>
    </w:lvl>
    <w:lvl w:ilvl="5" w:tplc="040C001B" w:tentative="1">
      <w:start w:val="1"/>
      <w:numFmt w:val="lowerRoman"/>
      <w:lvlText w:val="%6."/>
      <w:lvlJc w:val="right"/>
      <w:pPr>
        <w:ind w:left="5867" w:hanging="180"/>
      </w:pPr>
    </w:lvl>
    <w:lvl w:ilvl="6" w:tplc="040C000F" w:tentative="1">
      <w:start w:val="1"/>
      <w:numFmt w:val="decimal"/>
      <w:lvlText w:val="%7."/>
      <w:lvlJc w:val="left"/>
      <w:pPr>
        <w:ind w:left="6587" w:hanging="360"/>
      </w:pPr>
    </w:lvl>
    <w:lvl w:ilvl="7" w:tplc="040C0019" w:tentative="1">
      <w:start w:val="1"/>
      <w:numFmt w:val="lowerLetter"/>
      <w:lvlText w:val="%8."/>
      <w:lvlJc w:val="left"/>
      <w:pPr>
        <w:ind w:left="7307" w:hanging="360"/>
      </w:pPr>
    </w:lvl>
    <w:lvl w:ilvl="8" w:tplc="040C001B" w:tentative="1">
      <w:start w:val="1"/>
      <w:numFmt w:val="lowerRoman"/>
      <w:lvlText w:val="%9."/>
      <w:lvlJc w:val="right"/>
      <w:pPr>
        <w:ind w:left="8027" w:hanging="180"/>
      </w:pPr>
    </w:lvl>
  </w:abstractNum>
  <w:abstractNum w:abstractNumId="23" w15:restartNumberingAfterBreak="0">
    <w:nsid w:val="73B64C82"/>
    <w:multiLevelType w:val="hybridMultilevel"/>
    <w:tmpl w:val="7196FAFE"/>
    <w:lvl w:ilvl="0" w:tplc="738E8EAC">
      <w:start w:val="1"/>
      <w:numFmt w:val="bullet"/>
      <w:lvlText w:val=""/>
      <w:lvlJc w:val="left"/>
      <w:pPr>
        <w:ind w:left="2136" w:hanging="360"/>
      </w:pPr>
      <w:rPr>
        <w:rFonts w:ascii="Symbol" w:hAnsi="Symbol" w:hint="default"/>
        <w:lang w:val="fr-FR"/>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cs="Courier New" w:hint="default"/>
      </w:rPr>
    </w:lvl>
    <w:lvl w:ilvl="8" w:tplc="040C0005">
      <w:start w:val="1"/>
      <w:numFmt w:val="bullet"/>
      <w:lvlText w:val=""/>
      <w:lvlJc w:val="left"/>
      <w:pPr>
        <w:ind w:left="7896" w:hanging="360"/>
      </w:pPr>
      <w:rPr>
        <w:rFonts w:ascii="Wingdings" w:hAnsi="Wingdings" w:hint="default"/>
      </w:rPr>
    </w:lvl>
  </w:abstractNum>
  <w:abstractNum w:abstractNumId="24" w15:restartNumberingAfterBreak="0">
    <w:nsid w:val="7A1D047C"/>
    <w:multiLevelType w:val="hybridMultilevel"/>
    <w:tmpl w:val="E950313C"/>
    <w:lvl w:ilvl="0" w:tplc="91F841C0">
      <w:start w:val="1"/>
      <w:numFmt w:val="lowerLetter"/>
      <w:lvlText w:val="%1."/>
      <w:lvlJc w:val="left"/>
      <w:pPr>
        <w:tabs>
          <w:tab w:val="num" w:pos="1907"/>
        </w:tabs>
        <w:ind w:left="1907" w:hanging="360"/>
      </w:pPr>
      <w:rPr>
        <w:rFonts w:hint="default"/>
      </w:rPr>
    </w:lvl>
    <w:lvl w:ilvl="1" w:tplc="040C0019" w:tentative="1">
      <w:start w:val="1"/>
      <w:numFmt w:val="lowerLetter"/>
      <w:lvlText w:val="%2."/>
      <w:lvlJc w:val="left"/>
      <w:pPr>
        <w:ind w:left="2987" w:hanging="360"/>
      </w:pPr>
    </w:lvl>
    <w:lvl w:ilvl="2" w:tplc="040C001B" w:tentative="1">
      <w:start w:val="1"/>
      <w:numFmt w:val="lowerRoman"/>
      <w:lvlText w:val="%3."/>
      <w:lvlJc w:val="right"/>
      <w:pPr>
        <w:ind w:left="3707" w:hanging="180"/>
      </w:pPr>
    </w:lvl>
    <w:lvl w:ilvl="3" w:tplc="040C000F" w:tentative="1">
      <w:start w:val="1"/>
      <w:numFmt w:val="decimal"/>
      <w:lvlText w:val="%4."/>
      <w:lvlJc w:val="left"/>
      <w:pPr>
        <w:ind w:left="4427" w:hanging="360"/>
      </w:pPr>
    </w:lvl>
    <w:lvl w:ilvl="4" w:tplc="040C0019" w:tentative="1">
      <w:start w:val="1"/>
      <w:numFmt w:val="lowerLetter"/>
      <w:lvlText w:val="%5."/>
      <w:lvlJc w:val="left"/>
      <w:pPr>
        <w:ind w:left="5147" w:hanging="360"/>
      </w:pPr>
    </w:lvl>
    <w:lvl w:ilvl="5" w:tplc="040C001B" w:tentative="1">
      <w:start w:val="1"/>
      <w:numFmt w:val="lowerRoman"/>
      <w:lvlText w:val="%6."/>
      <w:lvlJc w:val="right"/>
      <w:pPr>
        <w:ind w:left="5867" w:hanging="180"/>
      </w:pPr>
    </w:lvl>
    <w:lvl w:ilvl="6" w:tplc="040C000F" w:tentative="1">
      <w:start w:val="1"/>
      <w:numFmt w:val="decimal"/>
      <w:lvlText w:val="%7."/>
      <w:lvlJc w:val="left"/>
      <w:pPr>
        <w:ind w:left="6587" w:hanging="360"/>
      </w:pPr>
    </w:lvl>
    <w:lvl w:ilvl="7" w:tplc="040C0019" w:tentative="1">
      <w:start w:val="1"/>
      <w:numFmt w:val="lowerLetter"/>
      <w:lvlText w:val="%8."/>
      <w:lvlJc w:val="left"/>
      <w:pPr>
        <w:ind w:left="7307" w:hanging="360"/>
      </w:pPr>
    </w:lvl>
    <w:lvl w:ilvl="8" w:tplc="040C001B" w:tentative="1">
      <w:start w:val="1"/>
      <w:numFmt w:val="lowerRoman"/>
      <w:lvlText w:val="%9."/>
      <w:lvlJc w:val="right"/>
      <w:pPr>
        <w:ind w:left="8027" w:hanging="180"/>
      </w:pPr>
    </w:lvl>
  </w:abstractNum>
  <w:abstractNum w:abstractNumId="25" w15:restartNumberingAfterBreak="0">
    <w:nsid w:val="7DEF7DED"/>
    <w:multiLevelType w:val="hybridMultilevel"/>
    <w:tmpl w:val="B08C98C8"/>
    <w:lvl w:ilvl="0" w:tplc="9AB2297C">
      <w:start w:val="1"/>
      <w:numFmt w:val="decimal"/>
      <w:lvlText w:val="(%1)"/>
      <w:lvlJc w:val="left"/>
      <w:pPr>
        <w:ind w:left="360" w:hanging="360"/>
      </w:pPr>
      <w:rPr>
        <w:rFonts w:hint="default"/>
        <w:i/>
        <w:sz w:val="1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7"/>
  </w:num>
  <w:num w:numId="3">
    <w:abstractNumId w:val="2"/>
  </w:num>
  <w:num w:numId="4">
    <w:abstractNumId w:val="18"/>
  </w:num>
  <w:num w:numId="5">
    <w:abstractNumId w:val="9"/>
  </w:num>
  <w:num w:numId="6">
    <w:abstractNumId w:val="21"/>
  </w:num>
  <w:num w:numId="7">
    <w:abstractNumId w:val="5"/>
  </w:num>
  <w:num w:numId="8">
    <w:abstractNumId w:val="17"/>
  </w:num>
  <w:num w:numId="9">
    <w:abstractNumId w:val="6"/>
  </w:num>
  <w:num w:numId="10">
    <w:abstractNumId w:val="24"/>
  </w:num>
  <w:num w:numId="11">
    <w:abstractNumId w:val="19"/>
  </w:num>
  <w:num w:numId="12">
    <w:abstractNumId w:val="20"/>
  </w:num>
  <w:num w:numId="13">
    <w:abstractNumId w:val="10"/>
  </w:num>
  <w:num w:numId="14">
    <w:abstractNumId w:val="13"/>
  </w:num>
  <w:num w:numId="15">
    <w:abstractNumId w:val="23"/>
  </w:num>
  <w:num w:numId="16">
    <w:abstractNumId w:val="4"/>
  </w:num>
  <w:num w:numId="17">
    <w:abstractNumId w:val="3"/>
  </w:num>
  <w:num w:numId="18">
    <w:abstractNumId w:val="1"/>
  </w:num>
  <w:num w:numId="19">
    <w:abstractNumId w:val="16"/>
  </w:num>
  <w:num w:numId="20">
    <w:abstractNumId w:val="11"/>
  </w:num>
  <w:num w:numId="21">
    <w:abstractNumId w:val="12"/>
  </w:num>
  <w:num w:numId="22">
    <w:abstractNumId w:val="7"/>
  </w:num>
  <w:num w:numId="23">
    <w:abstractNumId w:val="13"/>
  </w:num>
  <w:num w:numId="24">
    <w:abstractNumId w:val="2"/>
  </w:num>
  <w:num w:numId="25">
    <w:abstractNumId w:val="15"/>
  </w:num>
  <w:num w:numId="26">
    <w:abstractNumId w:val="14"/>
  </w:num>
  <w:num w:numId="27">
    <w:abstractNumId w:val="25"/>
  </w:num>
  <w:num w:numId="2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C3"/>
    <w:rsid w:val="00001AC8"/>
    <w:rsid w:val="00002765"/>
    <w:rsid w:val="00002BCE"/>
    <w:rsid w:val="000036CE"/>
    <w:rsid w:val="000043E4"/>
    <w:rsid w:val="00004875"/>
    <w:rsid w:val="00004CC3"/>
    <w:rsid w:val="000053C4"/>
    <w:rsid w:val="000057B3"/>
    <w:rsid w:val="0000598E"/>
    <w:rsid w:val="00007302"/>
    <w:rsid w:val="0000738E"/>
    <w:rsid w:val="00007475"/>
    <w:rsid w:val="000075B0"/>
    <w:rsid w:val="0000795E"/>
    <w:rsid w:val="000105C3"/>
    <w:rsid w:val="0001069F"/>
    <w:rsid w:val="0001093C"/>
    <w:rsid w:val="00010F2A"/>
    <w:rsid w:val="000110CC"/>
    <w:rsid w:val="00011470"/>
    <w:rsid w:val="00011E51"/>
    <w:rsid w:val="00014901"/>
    <w:rsid w:val="000155E5"/>
    <w:rsid w:val="00016FC6"/>
    <w:rsid w:val="00017787"/>
    <w:rsid w:val="00017FA6"/>
    <w:rsid w:val="000202CC"/>
    <w:rsid w:val="000206BF"/>
    <w:rsid w:val="00020F03"/>
    <w:rsid w:val="00020F47"/>
    <w:rsid w:val="00020FF1"/>
    <w:rsid w:val="0002352F"/>
    <w:rsid w:val="000245C1"/>
    <w:rsid w:val="00024711"/>
    <w:rsid w:val="00024B1E"/>
    <w:rsid w:val="00025728"/>
    <w:rsid w:val="00025BD8"/>
    <w:rsid w:val="000260AF"/>
    <w:rsid w:val="000263E9"/>
    <w:rsid w:val="000264C0"/>
    <w:rsid w:val="00026CDD"/>
    <w:rsid w:val="00026CEF"/>
    <w:rsid w:val="00026F11"/>
    <w:rsid w:val="000277E3"/>
    <w:rsid w:val="00027FE4"/>
    <w:rsid w:val="00030285"/>
    <w:rsid w:val="000310B0"/>
    <w:rsid w:val="00031731"/>
    <w:rsid w:val="00032084"/>
    <w:rsid w:val="000327A0"/>
    <w:rsid w:val="00033E75"/>
    <w:rsid w:val="0003593D"/>
    <w:rsid w:val="00035C87"/>
    <w:rsid w:val="00036114"/>
    <w:rsid w:val="000408BF"/>
    <w:rsid w:val="000427F1"/>
    <w:rsid w:val="00042D5D"/>
    <w:rsid w:val="00042F54"/>
    <w:rsid w:val="00043A21"/>
    <w:rsid w:val="00043F68"/>
    <w:rsid w:val="000447BA"/>
    <w:rsid w:val="00044D94"/>
    <w:rsid w:val="00046668"/>
    <w:rsid w:val="0004730A"/>
    <w:rsid w:val="00047673"/>
    <w:rsid w:val="00050B7A"/>
    <w:rsid w:val="000515DB"/>
    <w:rsid w:val="00051F30"/>
    <w:rsid w:val="0005234E"/>
    <w:rsid w:val="00052824"/>
    <w:rsid w:val="00052848"/>
    <w:rsid w:val="000535F6"/>
    <w:rsid w:val="00055398"/>
    <w:rsid w:val="00056A9C"/>
    <w:rsid w:val="00056D69"/>
    <w:rsid w:val="00057AE0"/>
    <w:rsid w:val="0006071F"/>
    <w:rsid w:val="0006095B"/>
    <w:rsid w:val="00060A2C"/>
    <w:rsid w:val="00060D11"/>
    <w:rsid w:val="00061009"/>
    <w:rsid w:val="00062A4B"/>
    <w:rsid w:val="00062F58"/>
    <w:rsid w:val="0006493E"/>
    <w:rsid w:val="00064F87"/>
    <w:rsid w:val="00065AC4"/>
    <w:rsid w:val="00065ED8"/>
    <w:rsid w:val="0006668E"/>
    <w:rsid w:val="0006759E"/>
    <w:rsid w:val="00067815"/>
    <w:rsid w:val="00067857"/>
    <w:rsid w:val="00067DE1"/>
    <w:rsid w:val="0007018B"/>
    <w:rsid w:val="000708A8"/>
    <w:rsid w:val="000713E3"/>
    <w:rsid w:val="000714B0"/>
    <w:rsid w:val="00071BED"/>
    <w:rsid w:val="00073033"/>
    <w:rsid w:val="00073A98"/>
    <w:rsid w:val="00074826"/>
    <w:rsid w:val="0007562E"/>
    <w:rsid w:val="00076092"/>
    <w:rsid w:val="00076E4F"/>
    <w:rsid w:val="0007772C"/>
    <w:rsid w:val="00081065"/>
    <w:rsid w:val="000831D4"/>
    <w:rsid w:val="00083406"/>
    <w:rsid w:val="00083630"/>
    <w:rsid w:val="00083EEB"/>
    <w:rsid w:val="00086049"/>
    <w:rsid w:val="00086DFE"/>
    <w:rsid w:val="000871CA"/>
    <w:rsid w:val="00087C67"/>
    <w:rsid w:val="000901E6"/>
    <w:rsid w:val="00090E1C"/>
    <w:rsid w:val="00091AAB"/>
    <w:rsid w:val="00092ADE"/>
    <w:rsid w:val="00092E1F"/>
    <w:rsid w:val="00093563"/>
    <w:rsid w:val="00094753"/>
    <w:rsid w:val="0009489D"/>
    <w:rsid w:val="00094ED4"/>
    <w:rsid w:val="00096AFB"/>
    <w:rsid w:val="00097152"/>
    <w:rsid w:val="0009776A"/>
    <w:rsid w:val="000A0A46"/>
    <w:rsid w:val="000A13A4"/>
    <w:rsid w:val="000A4656"/>
    <w:rsid w:val="000A4665"/>
    <w:rsid w:val="000A4CD9"/>
    <w:rsid w:val="000A5B34"/>
    <w:rsid w:val="000A6B68"/>
    <w:rsid w:val="000A6E53"/>
    <w:rsid w:val="000A722D"/>
    <w:rsid w:val="000A7A0C"/>
    <w:rsid w:val="000A7A94"/>
    <w:rsid w:val="000A7E5B"/>
    <w:rsid w:val="000B02C7"/>
    <w:rsid w:val="000B0766"/>
    <w:rsid w:val="000B0866"/>
    <w:rsid w:val="000B0D60"/>
    <w:rsid w:val="000B1B4F"/>
    <w:rsid w:val="000B2483"/>
    <w:rsid w:val="000B3282"/>
    <w:rsid w:val="000B3984"/>
    <w:rsid w:val="000B3F0B"/>
    <w:rsid w:val="000B5059"/>
    <w:rsid w:val="000B54A5"/>
    <w:rsid w:val="000B58E3"/>
    <w:rsid w:val="000B5CA2"/>
    <w:rsid w:val="000B665F"/>
    <w:rsid w:val="000B6C23"/>
    <w:rsid w:val="000B707F"/>
    <w:rsid w:val="000B732D"/>
    <w:rsid w:val="000B7997"/>
    <w:rsid w:val="000C1006"/>
    <w:rsid w:val="000C2745"/>
    <w:rsid w:val="000C28D1"/>
    <w:rsid w:val="000C377B"/>
    <w:rsid w:val="000C4445"/>
    <w:rsid w:val="000C4E6A"/>
    <w:rsid w:val="000C5458"/>
    <w:rsid w:val="000C6B4E"/>
    <w:rsid w:val="000C6D18"/>
    <w:rsid w:val="000C6FE4"/>
    <w:rsid w:val="000C7013"/>
    <w:rsid w:val="000C79F5"/>
    <w:rsid w:val="000D0719"/>
    <w:rsid w:val="000D15EC"/>
    <w:rsid w:val="000D169E"/>
    <w:rsid w:val="000D1DDF"/>
    <w:rsid w:val="000D2996"/>
    <w:rsid w:val="000D2E8E"/>
    <w:rsid w:val="000D3BB3"/>
    <w:rsid w:val="000D46F3"/>
    <w:rsid w:val="000D6B54"/>
    <w:rsid w:val="000D6E27"/>
    <w:rsid w:val="000E0C08"/>
    <w:rsid w:val="000E18BB"/>
    <w:rsid w:val="000E24AA"/>
    <w:rsid w:val="000E38DE"/>
    <w:rsid w:val="000E3E8B"/>
    <w:rsid w:val="000E3F61"/>
    <w:rsid w:val="000E4B8E"/>
    <w:rsid w:val="000E5989"/>
    <w:rsid w:val="000E5B17"/>
    <w:rsid w:val="000E7FD8"/>
    <w:rsid w:val="000F02BB"/>
    <w:rsid w:val="000F090D"/>
    <w:rsid w:val="000F10F9"/>
    <w:rsid w:val="000F111E"/>
    <w:rsid w:val="000F1209"/>
    <w:rsid w:val="000F1D63"/>
    <w:rsid w:val="000F1ECB"/>
    <w:rsid w:val="000F267A"/>
    <w:rsid w:val="000F3192"/>
    <w:rsid w:val="000F3953"/>
    <w:rsid w:val="000F4459"/>
    <w:rsid w:val="000F486C"/>
    <w:rsid w:val="000F5060"/>
    <w:rsid w:val="000F5637"/>
    <w:rsid w:val="000F56D0"/>
    <w:rsid w:val="000F5A67"/>
    <w:rsid w:val="000F5DF1"/>
    <w:rsid w:val="000F64ED"/>
    <w:rsid w:val="000F6B8E"/>
    <w:rsid w:val="000F6DEA"/>
    <w:rsid w:val="000F7305"/>
    <w:rsid w:val="000F737F"/>
    <w:rsid w:val="000F7543"/>
    <w:rsid w:val="000F7EFF"/>
    <w:rsid w:val="00100506"/>
    <w:rsid w:val="001012A8"/>
    <w:rsid w:val="001018AD"/>
    <w:rsid w:val="00101CE5"/>
    <w:rsid w:val="00102809"/>
    <w:rsid w:val="00103345"/>
    <w:rsid w:val="001038CA"/>
    <w:rsid w:val="00106179"/>
    <w:rsid w:val="001062F2"/>
    <w:rsid w:val="00107149"/>
    <w:rsid w:val="00107FD5"/>
    <w:rsid w:val="001106F6"/>
    <w:rsid w:val="00111181"/>
    <w:rsid w:val="00111C62"/>
    <w:rsid w:val="001121E9"/>
    <w:rsid w:val="00113821"/>
    <w:rsid w:val="00114A01"/>
    <w:rsid w:val="001153BD"/>
    <w:rsid w:val="001160EB"/>
    <w:rsid w:val="00116404"/>
    <w:rsid w:val="0011725F"/>
    <w:rsid w:val="00117435"/>
    <w:rsid w:val="00120C20"/>
    <w:rsid w:val="00120F4F"/>
    <w:rsid w:val="001215FB"/>
    <w:rsid w:val="0012170B"/>
    <w:rsid w:val="001223FC"/>
    <w:rsid w:val="00124431"/>
    <w:rsid w:val="00124EAA"/>
    <w:rsid w:val="00125249"/>
    <w:rsid w:val="00125D9F"/>
    <w:rsid w:val="001261F0"/>
    <w:rsid w:val="00126B0C"/>
    <w:rsid w:val="00126BF7"/>
    <w:rsid w:val="001277C1"/>
    <w:rsid w:val="001278C6"/>
    <w:rsid w:val="001305C3"/>
    <w:rsid w:val="001310D8"/>
    <w:rsid w:val="00131E13"/>
    <w:rsid w:val="00132559"/>
    <w:rsid w:val="00132719"/>
    <w:rsid w:val="0013415F"/>
    <w:rsid w:val="001342C3"/>
    <w:rsid w:val="00135016"/>
    <w:rsid w:val="00137361"/>
    <w:rsid w:val="00137950"/>
    <w:rsid w:val="00140234"/>
    <w:rsid w:val="00141412"/>
    <w:rsid w:val="001415DB"/>
    <w:rsid w:val="00142058"/>
    <w:rsid w:val="001422B5"/>
    <w:rsid w:val="001428B4"/>
    <w:rsid w:val="00142F59"/>
    <w:rsid w:val="00144654"/>
    <w:rsid w:val="00144D39"/>
    <w:rsid w:val="0014607C"/>
    <w:rsid w:val="001476B4"/>
    <w:rsid w:val="00147AE1"/>
    <w:rsid w:val="001508C3"/>
    <w:rsid w:val="00151896"/>
    <w:rsid w:val="001520E6"/>
    <w:rsid w:val="0015215A"/>
    <w:rsid w:val="001526E2"/>
    <w:rsid w:val="00152784"/>
    <w:rsid w:val="00153922"/>
    <w:rsid w:val="00154898"/>
    <w:rsid w:val="001549C5"/>
    <w:rsid w:val="0015510C"/>
    <w:rsid w:val="001551FD"/>
    <w:rsid w:val="00155204"/>
    <w:rsid w:val="0015545F"/>
    <w:rsid w:val="00155BDB"/>
    <w:rsid w:val="00155C4B"/>
    <w:rsid w:val="0015645C"/>
    <w:rsid w:val="00161AA1"/>
    <w:rsid w:val="0016226A"/>
    <w:rsid w:val="0016235A"/>
    <w:rsid w:val="00162CFF"/>
    <w:rsid w:val="001632D8"/>
    <w:rsid w:val="001644FE"/>
    <w:rsid w:val="00164769"/>
    <w:rsid w:val="0016658B"/>
    <w:rsid w:val="00166A61"/>
    <w:rsid w:val="00166C26"/>
    <w:rsid w:val="00166FA1"/>
    <w:rsid w:val="00167670"/>
    <w:rsid w:val="00167678"/>
    <w:rsid w:val="00167E14"/>
    <w:rsid w:val="00167E28"/>
    <w:rsid w:val="00170756"/>
    <w:rsid w:val="001714D1"/>
    <w:rsid w:val="001715C5"/>
    <w:rsid w:val="0017185A"/>
    <w:rsid w:val="00172128"/>
    <w:rsid w:val="0017227A"/>
    <w:rsid w:val="001724B7"/>
    <w:rsid w:val="001729BB"/>
    <w:rsid w:val="0017741A"/>
    <w:rsid w:val="00177BA1"/>
    <w:rsid w:val="00180052"/>
    <w:rsid w:val="00180C75"/>
    <w:rsid w:val="00182F33"/>
    <w:rsid w:val="001831D9"/>
    <w:rsid w:val="0018325D"/>
    <w:rsid w:val="00183433"/>
    <w:rsid w:val="001834B3"/>
    <w:rsid w:val="00183EF5"/>
    <w:rsid w:val="0018415F"/>
    <w:rsid w:val="00184D65"/>
    <w:rsid w:val="0018631D"/>
    <w:rsid w:val="00187000"/>
    <w:rsid w:val="001871A4"/>
    <w:rsid w:val="00190C2C"/>
    <w:rsid w:val="00190C76"/>
    <w:rsid w:val="00190DCD"/>
    <w:rsid w:val="00190F4F"/>
    <w:rsid w:val="00191234"/>
    <w:rsid w:val="00191EFD"/>
    <w:rsid w:val="00192AC5"/>
    <w:rsid w:val="00192D83"/>
    <w:rsid w:val="001938C3"/>
    <w:rsid w:val="00194486"/>
    <w:rsid w:val="00194C9A"/>
    <w:rsid w:val="001952FE"/>
    <w:rsid w:val="00195C32"/>
    <w:rsid w:val="00195F35"/>
    <w:rsid w:val="00196475"/>
    <w:rsid w:val="001979AC"/>
    <w:rsid w:val="00197F67"/>
    <w:rsid w:val="001A0106"/>
    <w:rsid w:val="001A02B1"/>
    <w:rsid w:val="001A0F5C"/>
    <w:rsid w:val="001A1AB7"/>
    <w:rsid w:val="001A1CB6"/>
    <w:rsid w:val="001A1DF4"/>
    <w:rsid w:val="001A2446"/>
    <w:rsid w:val="001A2CE5"/>
    <w:rsid w:val="001A3C5D"/>
    <w:rsid w:val="001A4259"/>
    <w:rsid w:val="001A5476"/>
    <w:rsid w:val="001A559F"/>
    <w:rsid w:val="001A55CD"/>
    <w:rsid w:val="001A5EF9"/>
    <w:rsid w:val="001A6342"/>
    <w:rsid w:val="001A66E9"/>
    <w:rsid w:val="001A66EB"/>
    <w:rsid w:val="001A7074"/>
    <w:rsid w:val="001B1813"/>
    <w:rsid w:val="001B23BD"/>
    <w:rsid w:val="001B3672"/>
    <w:rsid w:val="001B43C8"/>
    <w:rsid w:val="001B4FAE"/>
    <w:rsid w:val="001B5F9E"/>
    <w:rsid w:val="001B6292"/>
    <w:rsid w:val="001B752D"/>
    <w:rsid w:val="001C00D4"/>
    <w:rsid w:val="001C0DE6"/>
    <w:rsid w:val="001C1092"/>
    <w:rsid w:val="001C12D1"/>
    <w:rsid w:val="001C1AF9"/>
    <w:rsid w:val="001C490F"/>
    <w:rsid w:val="001C607A"/>
    <w:rsid w:val="001C60C0"/>
    <w:rsid w:val="001C6BD5"/>
    <w:rsid w:val="001C6E16"/>
    <w:rsid w:val="001C7ECE"/>
    <w:rsid w:val="001D00DE"/>
    <w:rsid w:val="001D11BD"/>
    <w:rsid w:val="001D1761"/>
    <w:rsid w:val="001D2EF4"/>
    <w:rsid w:val="001D3A6D"/>
    <w:rsid w:val="001D3E08"/>
    <w:rsid w:val="001D50CA"/>
    <w:rsid w:val="001D5450"/>
    <w:rsid w:val="001D5AB8"/>
    <w:rsid w:val="001D5AC8"/>
    <w:rsid w:val="001D67B5"/>
    <w:rsid w:val="001D6C14"/>
    <w:rsid w:val="001D7DE7"/>
    <w:rsid w:val="001E1867"/>
    <w:rsid w:val="001E28E8"/>
    <w:rsid w:val="001E2BB0"/>
    <w:rsid w:val="001E2BEA"/>
    <w:rsid w:val="001E32AC"/>
    <w:rsid w:val="001E3DEE"/>
    <w:rsid w:val="001E4DAE"/>
    <w:rsid w:val="001E4F75"/>
    <w:rsid w:val="001E5D46"/>
    <w:rsid w:val="001E5F9D"/>
    <w:rsid w:val="001E732E"/>
    <w:rsid w:val="001F139D"/>
    <w:rsid w:val="001F2636"/>
    <w:rsid w:val="001F2E88"/>
    <w:rsid w:val="001F32CA"/>
    <w:rsid w:val="001F3C0C"/>
    <w:rsid w:val="001F4233"/>
    <w:rsid w:val="001F493E"/>
    <w:rsid w:val="001F726D"/>
    <w:rsid w:val="001F75C2"/>
    <w:rsid w:val="001F7C29"/>
    <w:rsid w:val="00200A7B"/>
    <w:rsid w:val="00200B2E"/>
    <w:rsid w:val="00201380"/>
    <w:rsid w:val="00202089"/>
    <w:rsid w:val="00202361"/>
    <w:rsid w:val="00202378"/>
    <w:rsid w:val="0020251C"/>
    <w:rsid w:val="0020291B"/>
    <w:rsid w:val="00202B75"/>
    <w:rsid w:val="002032E4"/>
    <w:rsid w:val="00204C5E"/>
    <w:rsid w:val="00205ADB"/>
    <w:rsid w:val="0020608F"/>
    <w:rsid w:val="002077D1"/>
    <w:rsid w:val="00207969"/>
    <w:rsid w:val="00207EC4"/>
    <w:rsid w:val="0021257D"/>
    <w:rsid w:val="00212A4A"/>
    <w:rsid w:val="00212B01"/>
    <w:rsid w:val="00212DA0"/>
    <w:rsid w:val="00215D00"/>
    <w:rsid w:val="00216A11"/>
    <w:rsid w:val="00216EAA"/>
    <w:rsid w:val="002174EC"/>
    <w:rsid w:val="00220FD2"/>
    <w:rsid w:val="002215CA"/>
    <w:rsid w:val="00221D83"/>
    <w:rsid w:val="00221FC5"/>
    <w:rsid w:val="00222080"/>
    <w:rsid w:val="00222260"/>
    <w:rsid w:val="002222FC"/>
    <w:rsid w:val="00222D09"/>
    <w:rsid w:val="002243A2"/>
    <w:rsid w:val="00224CC1"/>
    <w:rsid w:val="002269E9"/>
    <w:rsid w:val="00226C48"/>
    <w:rsid w:val="00226DA4"/>
    <w:rsid w:val="00227035"/>
    <w:rsid w:val="00227832"/>
    <w:rsid w:val="00227BA9"/>
    <w:rsid w:val="002306A2"/>
    <w:rsid w:val="0023115A"/>
    <w:rsid w:val="00231406"/>
    <w:rsid w:val="002318D5"/>
    <w:rsid w:val="00231EA3"/>
    <w:rsid w:val="00232F01"/>
    <w:rsid w:val="002336F0"/>
    <w:rsid w:val="00234598"/>
    <w:rsid w:val="00234D9F"/>
    <w:rsid w:val="0023509E"/>
    <w:rsid w:val="00235630"/>
    <w:rsid w:val="00235EDD"/>
    <w:rsid w:val="00236BAF"/>
    <w:rsid w:val="00237137"/>
    <w:rsid w:val="00237E1F"/>
    <w:rsid w:val="0024067D"/>
    <w:rsid w:val="00240F17"/>
    <w:rsid w:val="00241D72"/>
    <w:rsid w:val="00241FD9"/>
    <w:rsid w:val="00242EEE"/>
    <w:rsid w:val="002433A9"/>
    <w:rsid w:val="0024674F"/>
    <w:rsid w:val="00246B6C"/>
    <w:rsid w:val="00246C44"/>
    <w:rsid w:val="002470FA"/>
    <w:rsid w:val="00247F01"/>
    <w:rsid w:val="00250A8C"/>
    <w:rsid w:val="00251841"/>
    <w:rsid w:val="00252324"/>
    <w:rsid w:val="00252771"/>
    <w:rsid w:val="002550FF"/>
    <w:rsid w:val="002553EB"/>
    <w:rsid w:val="002579B7"/>
    <w:rsid w:val="00260FE0"/>
    <w:rsid w:val="002613FA"/>
    <w:rsid w:val="002614A4"/>
    <w:rsid w:val="0026180F"/>
    <w:rsid w:val="00262698"/>
    <w:rsid w:val="00262AC2"/>
    <w:rsid w:val="0026356C"/>
    <w:rsid w:val="00264A2E"/>
    <w:rsid w:val="00265252"/>
    <w:rsid w:val="0026630A"/>
    <w:rsid w:val="00266766"/>
    <w:rsid w:val="002669F3"/>
    <w:rsid w:val="002669F6"/>
    <w:rsid w:val="00266FC0"/>
    <w:rsid w:val="0026753C"/>
    <w:rsid w:val="002676A6"/>
    <w:rsid w:val="0027275C"/>
    <w:rsid w:val="002727F5"/>
    <w:rsid w:val="00272907"/>
    <w:rsid w:val="0027325F"/>
    <w:rsid w:val="00273745"/>
    <w:rsid w:val="002738B9"/>
    <w:rsid w:val="00273A1A"/>
    <w:rsid w:val="00273EE1"/>
    <w:rsid w:val="00274175"/>
    <w:rsid w:val="0027585F"/>
    <w:rsid w:val="00276369"/>
    <w:rsid w:val="00276CEB"/>
    <w:rsid w:val="002801B8"/>
    <w:rsid w:val="002804FF"/>
    <w:rsid w:val="00281144"/>
    <w:rsid w:val="00282347"/>
    <w:rsid w:val="00282940"/>
    <w:rsid w:val="00283110"/>
    <w:rsid w:val="002832DA"/>
    <w:rsid w:val="00283CA7"/>
    <w:rsid w:val="00283E76"/>
    <w:rsid w:val="00284B8D"/>
    <w:rsid w:val="002857A2"/>
    <w:rsid w:val="00285D51"/>
    <w:rsid w:val="002862D2"/>
    <w:rsid w:val="00287278"/>
    <w:rsid w:val="00287419"/>
    <w:rsid w:val="002905C2"/>
    <w:rsid w:val="00290ED9"/>
    <w:rsid w:val="00291125"/>
    <w:rsid w:val="00291825"/>
    <w:rsid w:val="002927F5"/>
    <w:rsid w:val="00292B7D"/>
    <w:rsid w:val="00293164"/>
    <w:rsid w:val="002937B3"/>
    <w:rsid w:val="00293CA4"/>
    <w:rsid w:val="002944BE"/>
    <w:rsid w:val="00294814"/>
    <w:rsid w:val="00294B16"/>
    <w:rsid w:val="00296615"/>
    <w:rsid w:val="00296C5A"/>
    <w:rsid w:val="00297495"/>
    <w:rsid w:val="002A0657"/>
    <w:rsid w:val="002A0A55"/>
    <w:rsid w:val="002A3A8E"/>
    <w:rsid w:val="002A3CE2"/>
    <w:rsid w:val="002A4AAC"/>
    <w:rsid w:val="002A4BD6"/>
    <w:rsid w:val="002A4E0F"/>
    <w:rsid w:val="002A5506"/>
    <w:rsid w:val="002A5DFD"/>
    <w:rsid w:val="002A6D68"/>
    <w:rsid w:val="002A7345"/>
    <w:rsid w:val="002B0457"/>
    <w:rsid w:val="002B049D"/>
    <w:rsid w:val="002B0A14"/>
    <w:rsid w:val="002B0CAB"/>
    <w:rsid w:val="002B0EF2"/>
    <w:rsid w:val="002B14E4"/>
    <w:rsid w:val="002B1549"/>
    <w:rsid w:val="002B196E"/>
    <w:rsid w:val="002B1EF3"/>
    <w:rsid w:val="002B206B"/>
    <w:rsid w:val="002B24D7"/>
    <w:rsid w:val="002B2585"/>
    <w:rsid w:val="002B295B"/>
    <w:rsid w:val="002B3883"/>
    <w:rsid w:val="002B65E1"/>
    <w:rsid w:val="002B6BC0"/>
    <w:rsid w:val="002B76D8"/>
    <w:rsid w:val="002B7778"/>
    <w:rsid w:val="002C0433"/>
    <w:rsid w:val="002C0F53"/>
    <w:rsid w:val="002C12D3"/>
    <w:rsid w:val="002C1814"/>
    <w:rsid w:val="002C19FD"/>
    <w:rsid w:val="002C2007"/>
    <w:rsid w:val="002C230C"/>
    <w:rsid w:val="002C3F0D"/>
    <w:rsid w:val="002C55F2"/>
    <w:rsid w:val="002C5D9D"/>
    <w:rsid w:val="002C6A06"/>
    <w:rsid w:val="002C7A2C"/>
    <w:rsid w:val="002D0B35"/>
    <w:rsid w:val="002D1170"/>
    <w:rsid w:val="002D28E4"/>
    <w:rsid w:val="002D2DB5"/>
    <w:rsid w:val="002D3CD9"/>
    <w:rsid w:val="002D5889"/>
    <w:rsid w:val="002D5C14"/>
    <w:rsid w:val="002D65BD"/>
    <w:rsid w:val="002D6C2F"/>
    <w:rsid w:val="002D7537"/>
    <w:rsid w:val="002D7F22"/>
    <w:rsid w:val="002E0A94"/>
    <w:rsid w:val="002E242A"/>
    <w:rsid w:val="002E29A1"/>
    <w:rsid w:val="002E3143"/>
    <w:rsid w:val="002E4607"/>
    <w:rsid w:val="002E595B"/>
    <w:rsid w:val="002E6206"/>
    <w:rsid w:val="002E6F3F"/>
    <w:rsid w:val="002E7125"/>
    <w:rsid w:val="002E714A"/>
    <w:rsid w:val="002E743F"/>
    <w:rsid w:val="002E778B"/>
    <w:rsid w:val="002F1396"/>
    <w:rsid w:val="002F14E0"/>
    <w:rsid w:val="002F214A"/>
    <w:rsid w:val="002F27CD"/>
    <w:rsid w:val="002F32C9"/>
    <w:rsid w:val="002F499F"/>
    <w:rsid w:val="002F6E65"/>
    <w:rsid w:val="002F72F2"/>
    <w:rsid w:val="002F7FE9"/>
    <w:rsid w:val="00300390"/>
    <w:rsid w:val="0030110B"/>
    <w:rsid w:val="00301475"/>
    <w:rsid w:val="003034DB"/>
    <w:rsid w:val="00303570"/>
    <w:rsid w:val="00304728"/>
    <w:rsid w:val="00304FE3"/>
    <w:rsid w:val="003069C5"/>
    <w:rsid w:val="00306A89"/>
    <w:rsid w:val="00306B17"/>
    <w:rsid w:val="00306B54"/>
    <w:rsid w:val="00306DCB"/>
    <w:rsid w:val="00306FE9"/>
    <w:rsid w:val="00307AF2"/>
    <w:rsid w:val="00310431"/>
    <w:rsid w:val="00310A1D"/>
    <w:rsid w:val="0031195C"/>
    <w:rsid w:val="003119BD"/>
    <w:rsid w:val="00312A09"/>
    <w:rsid w:val="003132FF"/>
    <w:rsid w:val="00313CFF"/>
    <w:rsid w:val="003150EE"/>
    <w:rsid w:val="003167B8"/>
    <w:rsid w:val="0031759D"/>
    <w:rsid w:val="003207F0"/>
    <w:rsid w:val="00321ABA"/>
    <w:rsid w:val="003225B6"/>
    <w:rsid w:val="00322B6F"/>
    <w:rsid w:val="00322D13"/>
    <w:rsid w:val="00322E96"/>
    <w:rsid w:val="003235E0"/>
    <w:rsid w:val="003242FA"/>
    <w:rsid w:val="0032584D"/>
    <w:rsid w:val="00325B46"/>
    <w:rsid w:val="00326F42"/>
    <w:rsid w:val="00327D83"/>
    <w:rsid w:val="00327F58"/>
    <w:rsid w:val="00331521"/>
    <w:rsid w:val="00334833"/>
    <w:rsid w:val="00334B85"/>
    <w:rsid w:val="003362BC"/>
    <w:rsid w:val="003368B5"/>
    <w:rsid w:val="00337FE5"/>
    <w:rsid w:val="003417F2"/>
    <w:rsid w:val="00342243"/>
    <w:rsid w:val="003422C7"/>
    <w:rsid w:val="00342316"/>
    <w:rsid w:val="00342470"/>
    <w:rsid w:val="003426B4"/>
    <w:rsid w:val="0034399F"/>
    <w:rsid w:val="00343F68"/>
    <w:rsid w:val="003442A3"/>
    <w:rsid w:val="00344FFB"/>
    <w:rsid w:val="003454FE"/>
    <w:rsid w:val="0034598B"/>
    <w:rsid w:val="00346931"/>
    <w:rsid w:val="00347781"/>
    <w:rsid w:val="003477BD"/>
    <w:rsid w:val="0035012D"/>
    <w:rsid w:val="00350B22"/>
    <w:rsid w:val="00350EC8"/>
    <w:rsid w:val="00352338"/>
    <w:rsid w:val="00352EF4"/>
    <w:rsid w:val="003534EC"/>
    <w:rsid w:val="00353592"/>
    <w:rsid w:val="0035424B"/>
    <w:rsid w:val="003551B6"/>
    <w:rsid w:val="00356788"/>
    <w:rsid w:val="00360144"/>
    <w:rsid w:val="00361042"/>
    <w:rsid w:val="003619BA"/>
    <w:rsid w:val="00363132"/>
    <w:rsid w:val="003641E0"/>
    <w:rsid w:val="003651E2"/>
    <w:rsid w:val="00365672"/>
    <w:rsid w:val="003658A2"/>
    <w:rsid w:val="003664C2"/>
    <w:rsid w:val="00366967"/>
    <w:rsid w:val="0037021E"/>
    <w:rsid w:val="0037045E"/>
    <w:rsid w:val="00371A8F"/>
    <w:rsid w:val="0037241B"/>
    <w:rsid w:val="00373A13"/>
    <w:rsid w:val="00374385"/>
    <w:rsid w:val="00374C6A"/>
    <w:rsid w:val="003753CF"/>
    <w:rsid w:val="00375B2B"/>
    <w:rsid w:val="00375BC7"/>
    <w:rsid w:val="00375BCE"/>
    <w:rsid w:val="00375E80"/>
    <w:rsid w:val="0037639F"/>
    <w:rsid w:val="00376AB7"/>
    <w:rsid w:val="00376D1A"/>
    <w:rsid w:val="00377353"/>
    <w:rsid w:val="00377AF0"/>
    <w:rsid w:val="00377BCB"/>
    <w:rsid w:val="00377FBC"/>
    <w:rsid w:val="00382156"/>
    <w:rsid w:val="003829CF"/>
    <w:rsid w:val="00382BF4"/>
    <w:rsid w:val="00382C1A"/>
    <w:rsid w:val="00382D88"/>
    <w:rsid w:val="00382F2B"/>
    <w:rsid w:val="0038327C"/>
    <w:rsid w:val="00383F74"/>
    <w:rsid w:val="00383FE0"/>
    <w:rsid w:val="0038418D"/>
    <w:rsid w:val="00385943"/>
    <w:rsid w:val="00385A3F"/>
    <w:rsid w:val="0038770F"/>
    <w:rsid w:val="00391499"/>
    <w:rsid w:val="00391E47"/>
    <w:rsid w:val="0039207A"/>
    <w:rsid w:val="003921F9"/>
    <w:rsid w:val="003922E0"/>
    <w:rsid w:val="00392968"/>
    <w:rsid w:val="00392C2A"/>
    <w:rsid w:val="00393001"/>
    <w:rsid w:val="003934D7"/>
    <w:rsid w:val="00393F72"/>
    <w:rsid w:val="00393FAB"/>
    <w:rsid w:val="00394647"/>
    <w:rsid w:val="003958AD"/>
    <w:rsid w:val="003958CD"/>
    <w:rsid w:val="00395A94"/>
    <w:rsid w:val="00395E40"/>
    <w:rsid w:val="00395F28"/>
    <w:rsid w:val="00396897"/>
    <w:rsid w:val="00396EAC"/>
    <w:rsid w:val="00397EB0"/>
    <w:rsid w:val="003A0056"/>
    <w:rsid w:val="003A05FF"/>
    <w:rsid w:val="003A0706"/>
    <w:rsid w:val="003A1827"/>
    <w:rsid w:val="003A3AE2"/>
    <w:rsid w:val="003A4AA9"/>
    <w:rsid w:val="003A4B03"/>
    <w:rsid w:val="003A5278"/>
    <w:rsid w:val="003A5451"/>
    <w:rsid w:val="003A5BEB"/>
    <w:rsid w:val="003A5C77"/>
    <w:rsid w:val="003A61C2"/>
    <w:rsid w:val="003A62ED"/>
    <w:rsid w:val="003B02BD"/>
    <w:rsid w:val="003B0429"/>
    <w:rsid w:val="003B0A2E"/>
    <w:rsid w:val="003B18B1"/>
    <w:rsid w:val="003B199B"/>
    <w:rsid w:val="003B2BF4"/>
    <w:rsid w:val="003B3240"/>
    <w:rsid w:val="003B3FB4"/>
    <w:rsid w:val="003B4310"/>
    <w:rsid w:val="003B5605"/>
    <w:rsid w:val="003B5905"/>
    <w:rsid w:val="003B5F2D"/>
    <w:rsid w:val="003B7090"/>
    <w:rsid w:val="003B75C4"/>
    <w:rsid w:val="003B7AD2"/>
    <w:rsid w:val="003B7B19"/>
    <w:rsid w:val="003B7F92"/>
    <w:rsid w:val="003C131A"/>
    <w:rsid w:val="003C243B"/>
    <w:rsid w:val="003C2F66"/>
    <w:rsid w:val="003C3BCE"/>
    <w:rsid w:val="003C3F2E"/>
    <w:rsid w:val="003C48B3"/>
    <w:rsid w:val="003C4BFD"/>
    <w:rsid w:val="003C5711"/>
    <w:rsid w:val="003C6AAD"/>
    <w:rsid w:val="003C6FAE"/>
    <w:rsid w:val="003C7295"/>
    <w:rsid w:val="003C7D91"/>
    <w:rsid w:val="003D0B9A"/>
    <w:rsid w:val="003D0FF4"/>
    <w:rsid w:val="003D2079"/>
    <w:rsid w:val="003D30A4"/>
    <w:rsid w:val="003D41A3"/>
    <w:rsid w:val="003D41D4"/>
    <w:rsid w:val="003D4D89"/>
    <w:rsid w:val="003D4E0B"/>
    <w:rsid w:val="003D5B5A"/>
    <w:rsid w:val="003D6325"/>
    <w:rsid w:val="003D6C78"/>
    <w:rsid w:val="003D79F8"/>
    <w:rsid w:val="003E039C"/>
    <w:rsid w:val="003E03E3"/>
    <w:rsid w:val="003E03E5"/>
    <w:rsid w:val="003E0C01"/>
    <w:rsid w:val="003E1BF4"/>
    <w:rsid w:val="003E22B1"/>
    <w:rsid w:val="003E32B2"/>
    <w:rsid w:val="003E3420"/>
    <w:rsid w:val="003E3B34"/>
    <w:rsid w:val="003E3B47"/>
    <w:rsid w:val="003E3BBA"/>
    <w:rsid w:val="003E4AC3"/>
    <w:rsid w:val="003E5773"/>
    <w:rsid w:val="003E5C92"/>
    <w:rsid w:val="003E7004"/>
    <w:rsid w:val="003E73DA"/>
    <w:rsid w:val="003E7622"/>
    <w:rsid w:val="003F151A"/>
    <w:rsid w:val="003F23FE"/>
    <w:rsid w:val="003F2518"/>
    <w:rsid w:val="003F2A9F"/>
    <w:rsid w:val="003F2D0A"/>
    <w:rsid w:val="003F339A"/>
    <w:rsid w:val="003F3538"/>
    <w:rsid w:val="003F440D"/>
    <w:rsid w:val="003F45CC"/>
    <w:rsid w:val="003F48C6"/>
    <w:rsid w:val="003F6019"/>
    <w:rsid w:val="003F61DA"/>
    <w:rsid w:val="003F6782"/>
    <w:rsid w:val="003F690D"/>
    <w:rsid w:val="003F6EC3"/>
    <w:rsid w:val="003F6FAA"/>
    <w:rsid w:val="0040102C"/>
    <w:rsid w:val="00401DEA"/>
    <w:rsid w:val="00402968"/>
    <w:rsid w:val="00403960"/>
    <w:rsid w:val="004041ED"/>
    <w:rsid w:val="00404ABE"/>
    <w:rsid w:val="00404B29"/>
    <w:rsid w:val="0040548B"/>
    <w:rsid w:val="004069D2"/>
    <w:rsid w:val="00407787"/>
    <w:rsid w:val="00407AD4"/>
    <w:rsid w:val="00407ED9"/>
    <w:rsid w:val="00407F26"/>
    <w:rsid w:val="0041029F"/>
    <w:rsid w:val="004105F3"/>
    <w:rsid w:val="00411358"/>
    <w:rsid w:val="004117FF"/>
    <w:rsid w:val="0041188A"/>
    <w:rsid w:val="00413165"/>
    <w:rsid w:val="00413505"/>
    <w:rsid w:val="004135D9"/>
    <w:rsid w:val="0041381D"/>
    <w:rsid w:val="00413E1D"/>
    <w:rsid w:val="004140A0"/>
    <w:rsid w:val="004157E9"/>
    <w:rsid w:val="00415AAB"/>
    <w:rsid w:val="00415B16"/>
    <w:rsid w:val="00415F03"/>
    <w:rsid w:val="004167A8"/>
    <w:rsid w:val="0041734A"/>
    <w:rsid w:val="00421238"/>
    <w:rsid w:val="004215BC"/>
    <w:rsid w:val="00421A0B"/>
    <w:rsid w:val="00422D63"/>
    <w:rsid w:val="00422E65"/>
    <w:rsid w:val="00423459"/>
    <w:rsid w:val="00424819"/>
    <w:rsid w:val="0042507D"/>
    <w:rsid w:val="004270C7"/>
    <w:rsid w:val="00427E72"/>
    <w:rsid w:val="004300C6"/>
    <w:rsid w:val="00430641"/>
    <w:rsid w:val="00430E85"/>
    <w:rsid w:val="0043295D"/>
    <w:rsid w:val="00433E43"/>
    <w:rsid w:val="004346B6"/>
    <w:rsid w:val="00435352"/>
    <w:rsid w:val="004353A0"/>
    <w:rsid w:val="00436898"/>
    <w:rsid w:val="004368FA"/>
    <w:rsid w:val="004373CF"/>
    <w:rsid w:val="00437EAF"/>
    <w:rsid w:val="00437F37"/>
    <w:rsid w:val="0044161E"/>
    <w:rsid w:val="004428D2"/>
    <w:rsid w:val="00443CCD"/>
    <w:rsid w:val="00444528"/>
    <w:rsid w:val="004446E5"/>
    <w:rsid w:val="0044486A"/>
    <w:rsid w:val="004453DB"/>
    <w:rsid w:val="00445794"/>
    <w:rsid w:val="00445A58"/>
    <w:rsid w:val="00445F88"/>
    <w:rsid w:val="0044703A"/>
    <w:rsid w:val="004471ED"/>
    <w:rsid w:val="00447B9C"/>
    <w:rsid w:val="00450068"/>
    <w:rsid w:val="004504C2"/>
    <w:rsid w:val="004507D6"/>
    <w:rsid w:val="0045172F"/>
    <w:rsid w:val="004517E7"/>
    <w:rsid w:val="004523A5"/>
    <w:rsid w:val="00452605"/>
    <w:rsid w:val="004526EC"/>
    <w:rsid w:val="00453093"/>
    <w:rsid w:val="004537D6"/>
    <w:rsid w:val="00454CB6"/>
    <w:rsid w:val="00455413"/>
    <w:rsid w:val="00455B76"/>
    <w:rsid w:val="00455C18"/>
    <w:rsid w:val="00456307"/>
    <w:rsid w:val="00457A06"/>
    <w:rsid w:val="00457F41"/>
    <w:rsid w:val="00461037"/>
    <w:rsid w:val="00461704"/>
    <w:rsid w:val="004618E3"/>
    <w:rsid w:val="004630AE"/>
    <w:rsid w:val="00463392"/>
    <w:rsid w:val="004635F0"/>
    <w:rsid w:val="00463F58"/>
    <w:rsid w:val="00466190"/>
    <w:rsid w:val="0046638B"/>
    <w:rsid w:val="0046658F"/>
    <w:rsid w:val="00470599"/>
    <w:rsid w:val="00471121"/>
    <w:rsid w:val="00471295"/>
    <w:rsid w:val="004724EB"/>
    <w:rsid w:val="004725D9"/>
    <w:rsid w:val="0047364B"/>
    <w:rsid w:val="00474415"/>
    <w:rsid w:val="004748E4"/>
    <w:rsid w:val="00474AA0"/>
    <w:rsid w:val="00474D60"/>
    <w:rsid w:val="00475295"/>
    <w:rsid w:val="004761B1"/>
    <w:rsid w:val="004776F0"/>
    <w:rsid w:val="00480129"/>
    <w:rsid w:val="00480F36"/>
    <w:rsid w:val="00481002"/>
    <w:rsid w:val="00481E54"/>
    <w:rsid w:val="0048273E"/>
    <w:rsid w:val="004827FE"/>
    <w:rsid w:val="00482A9E"/>
    <w:rsid w:val="004835DA"/>
    <w:rsid w:val="00483DDA"/>
    <w:rsid w:val="00485098"/>
    <w:rsid w:val="004856A3"/>
    <w:rsid w:val="004858CF"/>
    <w:rsid w:val="00486DA5"/>
    <w:rsid w:val="00486DE4"/>
    <w:rsid w:val="00486EAF"/>
    <w:rsid w:val="00487F73"/>
    <w:rsid w:val="004903CA"/>
    <w:rsid w:val="004904E8"/>
    <w:rsid w:val="004907A0"/>
    <w:rsid w:val="00490B98"/>
    <w:rsid w:val="00493756"/>
    <w:rsid w:val="0049398C"/>
    <w:rsid w:val="00493AAA"/>
    <w:rsid w:val="00493C65"/>
    <w:rsid w:val="00494E54"/>
    <w:rsid w:val="004955F3"/>
    <w:rsid w:val="0049607A"/>
    <w:rsid w:val="00496E7A"/>
    <w:rsid w:val="00496FF4"/>
    <w:rsid w:val="004978A9"/>
    <w:rsid w:val="0049796E"/>
    <w:rsid w:val="004A09DC"/>
    <w:rsid w:val="004A187C"/>
    <w:rsid w:val="004A1F98"/>
    <w:rsid w:val="004A2021"/>
    <w:rsid w:val="004A2A60"/>
    <w:rsid w:val="004A2A9A"/>
    <w:rsid w:val="004A33B3"/>
    <w:rsid w:val="004A3A72"/>
    <w:rsid w:val="004A5438"/>
    <w:rsid w:val="004A58A5"/>
    <w:rsid w:val="004A5A72"/>
    <w:rsid w:val="004A6355"/>
    <w:rsid w:val="004A7D50"/>
    <w:rsid w:val="004B01FF"/>
    <w:rsid w:val="004B02E0"/>
    <w:rsid w:val="004B2128"/>
    <w:rsid w:val="004B24E8"/>
    <w:rsid w:val="004B31A0"/>
    <w:rsid w:val="004B3ACE"/>
    <w:rsid w:val="004B5122"/>
    <w:rsid w:val="004B562A"/>
    <w:rsid w:val="004B576E"/>
    <w:rsid w:val="004B6632"/>
    <w:rsid w:val="004B6B1C"/>
    <w:rsid w:val="004B7583"/>
    <w:rsid w:val="004B7B87"/>
    <w:rsid w:val="004B7E0F"/>
    <w:rsid w:val="004B7F62"/>
    <w:rsid w:val="004C0D6C"/>
    <w:rsid w:val="004C2105"/>
    <w:rsid w:val="004C2393"/>
    <w:rsid w:val="004C3232"/>
    <w:rsid w:val="004C4162"/>
    <w:rsid w:val="004C4925"/>
    <w:rsid w:val="004C49C1"/>
    <w:rsid w:val="004C564E"/>
    <w:rsid w:val="004C61B5"/>
    <w:rsid w:val="004C69FC"/>
    <w:rsid w:val="004C731A"/>
    <w:rsid w:val="004C77A1"/>
    <w:rsid w:val="004C7916"/>
    <w:rsid w:val="004C7FEA"/>
    <w:rsid w:val="004D1CF1"/>
    <w:rsid w:val="004D27D0"/>
    <w:rsid w:val="004D2AE5"/>
    <w:rsid w:val="004D3852"/>
    <w:rsid w:val="004D3FAC"/>
    <w:rsid w:val="004D42EC"/>
    <w:rsid w:val="004D55B3"/>
    <w:rsid w:val="004D5992"/>
    <w:rsid w:val="004D6395"/>
    <w:rsid w:val="004D64AA"/>
    <w:rsid w:val="004D6DC9"/>
    <w:rsid w:val="004D7343"/>
    <w:rsid w:val="004D7561"/>
    <w:rsid w:val="004D7F71"/>
    <w:rsid w:val="004E00EE"/>
    <w:rsid w:val="004E16CF"/>
    <w:rsid w:val="004E181C"/>
    <w:rsid w:val="004E24E8"/>
    <w:rsid w:val="004E2873"/>
    <w:rsid w:val="004E29E4"/>
    <w:rsid w:val="004E308D"/>
    <w:rsid w:val="004E433A"/>
    <w:rsid w:val="004E59B4"/>
    <w:rsid w:val="004E59BB"/>
    <w:rsid w:val="004E5B39"/>
    <w:rsid w:val="004E5B46"/>
    <w:rsid w:val="004E64D6"/>
    <w:rsid w:val="004E692B"/>
    <w:rsid w:val="004E6E24"/>
    <w:rsid w:val="004E72B7"/>
    <w:rsid w:val="004E7D29"/>
    <w:rsid w:val="004F047A"/>
    <w:rsid w:val="004F0C9B"/>
    <w:rsid w:val="004F3159"/>
    <w:rsid w:val="004F4DB3"/>
    <w:rsid w:val="004F4E3C"/>
    <w:rsid w:val="004F5A23"/>
    <w:rsid w:val="004F6800"/>
    <w:rsid w:val="004F6922"/>
    <w:rsid w:val="004F69D5"/>
    <w:rsid w:val="004F6D0E"/>
    <w:rsid w:val="004F7B8A"/>
    <w:rsid w:val="004F7CAB"/>
    <w:rsid w:val="004F7DEB"/>
    <w:rsid w:val="004F7EE7"/>
    <w:rsid w:val="0050026B"/>
    <w:rsid w:val="00500B59"/>
    <w:rsid w:val="00501558"/>
    <w:rsid w:val="0050267D"/>
    <w:rsid w:val="0050269C"/>
    <w:rsid w:val="0050275F"/>
    <w:rsid w:val="005029DA"/>
    <w:rsid w:val="00502D20"/>
    <w:rsid w:val="00503AC9"/>
    <w:rsid w:val="00503F47"/>
    <w:rsid w:val="00504262"/>
    <w:rsid w:val="00504808"/>
    <w:rsid w:val="00504C1F"/>
    <w:rsid w:val="00505293"/>
    <w:rsid w:val="005058A1"/>
    <w:rsid w:val="005059DD"/>
    <w:rsid w:val="00506DAE"/>
    <w:rsid w:val="00507F96"/>
    <w:rsid w:val="005100AE"/>
    <w:rsid w:val="00510A7D"/>
    <w:rsid w:val="00510E07"/>
    <w:rsid w:val="00511D04"/>
    <w:rsid w:val="005120D1"/>
    <w:rsid w:val="00512776"/>
    <w:rsid w:val="0051295F"/>
    <w:rsid w:val="005129E9"/>
    <w:rsid w:val="0051314B"/>
    <w:rsid w:val="00513296"/>
    <w:rsid w:val="005143E4"/>
    <w:rsid w:val="00514455"/>
    <w:rsid w:val="00514D29"/>
    <w:rsid w:val="00514E81"/>
    <w:rsid w:val="00514F00"/>
    <w:rsid w:val="0051618E"/>
    <w:rsid w:val="00516682"/>
    <w:rsid w:val="00516ABA"/>
    <w:rsid w:val="00516FD8"/>
    <w:rsid w:val="0051795C"/>
    <w:rsid w:val="005217DF"/>
    <w:rsid w:val="00521AA5"/>
    <w:rsid w:val="0052215C"/>
    <w:rsid w:val="00522A66"/>
    <w:rsid w:val="005239D9"/>
    <w:rsid w:val="0052438E"/>
    <w:rsid w:val="00524CE6"/>
    <w:rsid w:val="00524F12"/>
    <w:rsid w:val="0052538B"/>
    <w:rsid w:val="00525677"/>
    <w:rsid w:val="005259FB"/>
    <w:rsid w:val="0052694E"/>
    <w:rsid w:val="00526A14"/>
    <w:rsid w:val="0053030E"/>
    <w:rsid w:val="005309F6"/>
    <w:rsid w:val="0053192C"/>
    <w:rsid w:val="005321BD"/>
    <w:rsid w:val="00532D0A"/>
    <w:rsid w:val="00532F37"/>
    <w:rsid w:val="005337DA"/>
    <w:rsid w:val="00533A70"/>
    <w:rsid w:val="00533BF5"/>
    <w:rsid w:val="00533EC7"/>
    <w:rsid w:val="0053417C"/>
    <w:rsid w:val="00534980"/>
    <w:rsid w:val="0053648F"/>
    <w:rsid w:val="00536D49"/>
    <w:rsid w:val="005379E9"/>
    <w:rsid w:val="00540A21"/>
    <w:rsid w:val="005411BD"/>
    <w:rsid w:val="00542363"/>
    <w:rsid w:val="0054290B"/>
    <w:rsid w:val="00542D06"/>
    <w:rsid w:val="00543619"/>
    <w:rsid w:val="00544A5E"/>
    <w:rsid w:val="00545141"/>
    <w:rsid w:val="005456EE"/>
    <w:rsid w:val="005469AA"/>
    <w:rsid w:val="00547077"/>
    <w:rsid w:val="00547174"/>
    <w:rsid w:val="0054737B"/>
    <w:rsid w:val="00550AE7"/>
    <w:rsid w:val="00550F2C"/>
    <w:rsid w:val="00550F45"/>
    <w:rsid w:val="0055114C"/>
    <w:rsid w:val="00551C42"/>
    <w:rsid w:val="00552283"/>
    <w:rsid w:val="00553296"/>
    <w:rsid w:val="00553B47"/>
    <w:rsid w:val="00554402"/>
    <w:rsid w:val="00554444"/>
    <w:rsid w:val="00555281"/>
    <w:rsid w:val="00556EBD"/>
    <w:rsid w:val="0055703A"/>
    <w:rsid w:val="00557655"/>
    <w:rsid w:val="005578B4"/>
    <w:rsid w:val="00557945"/>
    <w:rsid w:val="005600B7"/>
    <w:rsid w:val="00562217"/>
    <w:rsid w:val="00562551"/>
    <w:rsid w:val="00563A28"/>
    <w:rsid w:val="00563A54"/>
    <w:rsid w:val="00563A80"/>
    <w:rsid w:val="00563D5F"/>
    <w:rsid w:val="00563FBA"/>
    <w:rsid w:val="005641C5"/>
    <w:rsid w:val="00564AA2"/>
    <w:rsid w:val="0056513F"/>
    <w:rsid w:val="00565637"/>
    <w:rsid w:val="00565E2D"/>
    <w:rsid w:val="00566396"/>
    <w:rsid w:val="005665F8"/>
    <w:rsid w:val="00566834"/>
    <w:rsid w:val="00566929"/>
    <w:rsid w:val="00567FA5"/>
    <w:rsid w:val="00570A85"/>
    <w:rsid w:val="00570FA8"/>
    <w:rsid w:val="00572C36"/>
    <w:rsid w:val="005732C6"/>
    <w:rsid w:val="00574597"/>
    <w:rsid w:val="005747F4"/>
    <w:rsid w:val="00574AEB"/>
    <w:rsid w:val="00575CD1"/>
    <w:rsid w:val="005760E9"/>
    <w:rsid w:val="005763F9"/>
    <w:rsid w:val="00577CAA"/>
    <w:rsid w:val="00580AAD"/>
    <w:rsid w:val="005820BF"/>
    <w:rsid w:val="00582563"/>
    <w:rsid w:val="0058317C"/>
    <w:rsid w:val="005841A3"/>
    <w:rsid w:val="00584B3B"/>
    <w:rsid w:val="00584B81"/>
    <w:rsid w:val="00585214"/>
    <w:rsid w:val="00585EAF"/>
    <w:rsid w:val="00585EF3"/>
    <w:rsid w:val="005868EE"/>
    <w:rsid w:val="00587307"/>
    <w:rsid w:val="00587B21"/>
    <w:rsid w:val="005901BA"/>
    <w:rsid w:val="0059022E"/>
    <w:rsid w:val="005908D7"/>
    <w:rsid w:val="00590E3A"/>
    <w:rsid w:val="00591F30"/>
    <w:rsid w:val="00592091"/>
    <w:rsid w:val="00593F6F"/>
    <w:rsid w:val="005949EA"/>
    <w:rsid w:val="00594C6C"/>
    <w:rsid w:val="005951CD"/>
    <w:rsid w:val="00595F9C"/>
    <w:rsid w:val="00596D5F"/>
    <w:rsid w:val="005A0A83"/>
    <w:rsid w:val="005A117F"/>
    <w:rsid w:val="005A11B8"/>
    <w:rsid w:val="005A1437"/>
    <w:rsid w:val="005A1AFB"/>
    <w:rsid w:val="005A2276"/>
    <w:rsid w:val="005A36BF"/>
    <w:rsid w:val="005A3AD9"/>
    <w:rsid w:val="005A3F5F"/>
    <w:rsid w:val="005A584C"/>
    <w:rsid w:val="005A5B1D"/>
    <w:rsid w:val="005A6692"/>
    <w:rsid w:val="005A7112"/>
    <w:rsid w:val="005A7DA9"/>
    <w:rsid w:val="005B0EB2"/>
    <w:rsid w:val="005B0ECD"/>
    <w:rsid w:val="005B1D09"/>
    <w:rsid w:val="005B35F7"/>
    <w:rsid w:val="005B44AF"/>
    <w:rsid w:val="005B541F"/>
    <w:rsid w:val="005B5B64"/>
    <w:rsid w:val="005B5D5B"/>
    <w:rsid w:val="005B6472"/>
    <w:rsid w:val="005B782A"/>
    <w:rsid w:val="005B7D89"/>
    <w:rsid w:val="005C00E7"/>
    <w:rsid w:val="005C1BF7"/>
    <w:rsid w:val="005C1D8E"/>
    <w:rsid w:val="005C2563"/>
    <w:rsid w:val="005C3627"/>
    <w:rsid w:val="005C4B7F"/>
    <w:rsid w:val="005C7162"/>
    <w:rsid w:val="005C7F83"/>
    <w:rsid w:val="005D02A7"/>
    <w:rsid w:val="005D09FD"/>
    <w:rsid w:val="005D0B32"/>
    <w:rsid w:val="005D1415"/>
    <w:rsid w:val="005D1734"/>
    <w:rsid w:val="005D1D70"/>
    <w:rsid w:val="005D2EA3"/>
    <w:rsid w:val="005D36DF"/>
    <w:rsid w:val="005D3BC9"/>
    <w:rsid w:val="005D4581"/>
    <w:rsid w:val="005D4648"/>
    <w:rsid w:val="005D60EF"/>
    <w:rsid w:val="005D62FD"/>
    <w:rsid w:val="005D6D98"/>
    <w:rsid w:val="005D73D6"/>
    <w:rsid w:val="005E07F7"/>
    <w:rsid w:val="005E1DF6"/>
    <w:rsid w:val="005E1E39"/>
    <w:rsid w:val="005E1FEF"/>
    <w:rsid w:val="005E29C8"/>
    <w:rsid w:val="005E2DD5"/>
    <w:rsid w:val="005E3E7C"/>
    <w:rsid w:val="005E50AB"/>
    <w:rsid w:val="005E571C"/>
    <w:rsid w:val="005E5AAD"/>
    <w:rsid w:val="005E7027"/>
    <w:rsid w:val="005E70D9"/>
    <w:rsid w:val="005E7522"/>
    <w:rsid w:val="005E7FF6"/>
    <w:rsid w:val="005F159A"/>
    <w:rsid w:val="005F177B"/>
    <w:rsid w:val="005F249C"/>
    <w:rsid w:val="005F28D4"/>
    <w:rsid w:val="005F2A1A"/>
    <w:rsid w:val="005F2E59"/>
    <w:rsid w:val="005F3C38"/>
    <w:rsid w:val="005F410C"/>
    <w:rsid w:val="005F4614"/>
    <w:rsid w:val="005F6DD6"/>
    <w:rsid w:val="005F6E1C"/>
    <w:rsid w:val="005F70DB"/>
    <w:rsid w:val="005F7136"/>
    <w:rsid w:val="005F7B20"/>
    <w:rsid w:val="00600FC2"/>
    <w:rsid w:val="00601BF1"/>
    <w:rsid w:val="006022E8"/>
    <w:rsid w:val="006026B2"/>
    <w:rsid w:val="00602B0B"/>
    <w:rsid w:val="00602E1E"/>
    <w:rsid w:val="00603328"/>
    <w:rsid w:val="00604243"/>
    <w:rsid w:val="006059AC"/>
    <w:rsid w:val="0060701A"/>
    <w:rsid w:val="00607C08"/>
    <w:rsid w:val="006111D0"/>
    <w:rsid w:val="0061351F"/>
    <w:rsid w:val="00613E35"/>
    <w:rsid w:val="00613E5F"/>
    <w:rsid w:val="006142C8"/>
    <w:rsid w:val="00614651"/>
    <w:rsid w:val="00614745"/>
    <w:rsid w:val="00615580"/>
    <w:rsid w:val="00615F5B"/>
    <w:rsid w:val="00616D7B"/>
    <w:rsid w:val="006174E6"/>
    <w:rsid w:val="00617A1D"/>
    <w:rsid w:val="00617C0F"/>
    <w:rsid w:val="00617DC0"/>
    <w:rsid w:val="00620800"/>
    <w:rsid w:val="00622825"/>
    <w:rsid w:val="006232DE"/>
    <w:rsid w:val="00623676"/>
    <w:rsid w:val="0062452E"/>
    <w:rsid w:val="00624B90"/>
    <w:rsid w:val="0062513D"/>
    <w:rsid w:val="00626A38"/>
    <w:rsid w:val="0062721A"/>
    <w:rsid w:val="00627EAD"/>
    <w:rsid w:val="00630AC0"/>
    <w:rsid w:val="00630E44"/>
    <w:rsid w:val="00632049"/>
    <w:rsid w:val="00632122"/>
    <w:rsid w:val="00632730"/>
    <w:rsid w:val="006327B8"/>
    <w:rsid w:val="00632A01"/>
    <w:rsid w:val="00632A1C"/>
    <w:rsid w:val="00633FF7"/>
    <w:rsid w:val="00634177"/>
    <w:rsid w:val="006345F5"/>
    <w:rsid w:val="006350B7"/>
    <w:rsid w:val="006371EF"/>
    <w:rsid w:val="0064040E"/>
    <w:rsid w:val="00642931"/>
    <w:rsid w:val="00642E0D"/>
    <w:rsid w:val="0064320C"/>
    <w:rsid w:val="00643E39"/>
    <w:rsid w:val="00643E7E"/>
    <w:rsid w:val="00644D0F"/>
    <w:rsid w:val="00646272"/>
    <w:rsid w:val="00646361"/>
    <w:rsid w:val="00646A2C"/>
    <w:rsid w:val="006470E3"/>
    <w:rsid w:val="00647236"/>
    <w:rsid w:val="006477E4"/>
    <w:rsid w:val="00647D26"/>
    <w:rsid w:val="00650397"/>
    <w:rsid w:val="00650ABE"/>
    <w:rsid w:val="00652CDD"/>
    <w:rsid w:val="0065372F"/>
    <w:rsid w:val="00653BA4"/>
    <w:rsid w:val="00653E46"/>
    <w:rsid w:val="00653EB4"/>
    <w:rsid w:val="00653F3D"/>
    <w:rsid w:val="00655065"/>
    <w:rsid w:val="00655677"/>
    <w:rsid w:val="006556AC"/>
    <w:rsid w:val="00656435"/>
    <w:rsid w:val="00656C5D"/>
    <w:rsid w:val="0066019C"/>
    <w:rsid w:val="00661702"/>
    <w:rsid w:val="006630DA"/>
    <w:rsid w:val="00663256"/>
    <w:rsid w:val="006635EF"/>
    <w:rsid w:val="006639C9"/>
    <w:rsid w:val="006639E2"/>
    <w:rsid w:val="006651F7"/>
    <w:rsid w:val="00665342"/>
    <w:rsid w:val="00665456"/>
    <w:rsid w:val="0066563C"/>
    <w:rsid w:val="00666987"/>
    <w:rsid w:val="00666A5A"/>
    <w:rsid w:val="0066727A"/>
    <w:rsid w:val="00667559"/>
    <w:rsid w:val="0066764F"/>
    <w:rsid w:val="00667C82"/>
    <w:rsid w:val="00670132"/>
    <w:rsid w:val="00671301"/>
    <w:rsid w:val="006716BA"/>
    <w:rsid w:val="006719A9"/>
    <w:rsid w:val="00671A62"/>
    <w:rsid w:val="00671E25"/>
    <w:rsid w:val="00671E76"/>
    <w:rsid w:val="00672108"/>
    <w:rsid w:val="006728D6"/>
    <w:rsid w:val="0067366D"/>
    <w:rsid w:val="00673B66"/>
    <w:rsid w:val="0067426C"/>
    <w:rsid w:val="006744AD"/>
    <w:rsid w:val="006745BF"/>
    <w:rsid w:val="00675AA6"/>
    <w:rsid w:val="00675F63"/>
    <w:rsid w:val="0067697D"/>
    <w:rsid w:val="00676DD4"/>
    <w:rsid w:val="00676F09"/>
    <w:rsid w:val="00680093"/>
    <w:rsid w:val="00680A7E"/>
    <w:rsid w:val="006819C5"/>
    <w:rsid w:val="006824D2"/>
    <w:rsid w:val="00683BFB"/>
    <w:rsid w:val="00683EA6"/>
    <w:rsid w:val="006846B6"/>
    <w:rsid w:val="006852E7"/>
    <w:rsid w:val="00685EEC"/>
    <w:rsid w:val="00686C0E"/>
    <w:rsid w:val="006870A8"/>
    <w:rsid w:val="006879FD"/>
    <w:rsid w:val="00687BC8"/>
    <w:rsid w:val="0069062A"/>
    <w:rsid w:val="006915C5"/>
    <w:rsid w:val="00691C7A"/>
    <w:rsid w:val="00691FAD"/>
    <w:rsid w:val="00692647"/>
    <w:rsid w:val="00693ED1"/>
    <w:rsid w:val="006941DC"/>
    <w:rsid w:val="00695985"/>
    <w:rsid w:val="00696229"/>
    <w:rsid w:val="00696A19"/>
    <w:rsid w:val="00696B3D"/>
    <w:rsid w:val="00696C8B"/>
    <w:rsid w:val="00697DDE"/>
    <w:rsid w:val="00697E97"/>
    <w:rsid w:val="006A095B"/>
    <w:rsid w:val="006A0D52"/>
    <w:rsid w:val="006A0E67"/>
    <w:rsid w:val="006A2E58"/>
    <w:rsid w:val="006A3AE1"/>
    <w:rsid w:val="006A3F17"/>
    <w:rsid w:val="006A486E"/>
    <w:rsid w:val="006A4B97"/>
    <w:rsid w:val="006A4C80"/>
    <w:rsid w:val="006A4E33"/>
    <w:rsid w:val="006A6D5E"/>
    <w:rsid w:val="006A6DC8"/>
    <w:rsid w:val="006A6EF7"/>
    <w:rsid w:val="006A7213"/>
    <w:rsid w:val="006A73EA"/>
    <w:rsid w:val="006A7989"/>
    <w:rsid w:val="006B18E0"/>
    <w:rsid w:val="006B2694"/>
    <w:rsid w:val="006B286D"/>
    <w:rsid w:val="006B2D80"/>
    <w:rsid w:val="006B3EE2"/>
    <w:rsid w:val="006B417C"/>
    <w:rsid w:val="006B47CF"/>
    <w:rsid w:val="006B4C39"/>
    <w:rsid w:val="006B5030"/>
    <w:rsid w:val="006B5A08"/>
    <w:rsid w:val="006B677A"/>
    <w:rsid w:val="006B691B"/>
    <w:rsid w:val="006B6983"/>
    <w:rsid w:val="006B7B67"/>
    <w:rsid w:val="006C04F0"/>
    <w:rsid w:val="006C1D96"/>
    <w:rsid w:val="006C21BE"/>
    <w:rsid w:val="006C2556"/>
    <w:rsid w:val="006C2876"/>
    <w:rsid w:val="006C3481"/>
    <w:rsid w:val="006C3604"/>
    <w:rsid w:val="006C4139"/>
    <w:rsid w:val="006C57BA"/>
    <w:rsid w:val="006C5C68"/>
    <w:rsid w:val="006C66AD"/>
    <w:rsid w:val="006C6BC7"/>
    <w:rsid w:val="006C7CBF"/>
    <w:rsid w:val="006D00AE"/>
    <w:rsid w:val="006D0B2C"/>
    <w:rsid w:val="006D1178"/>
    <w:rsid w:val="006D193D"/>
    <w:rsid w:val="006D2002"/>
    <w:rsid w:val="006D28BC"/>
    <w:rsid w:val="006D2CF3"/>
    <w:rsid w:val="006D2EF3"/>
    <w:rsid w:val="006D3240"/>
    <w:rsid w:val="006D3D77"/>
    <w:rsid w:val="006D3ECB"/>
    <w:rsid w:val="006D47FA"/>
    <w:rsid w:val="006D50D1"/>
    <w:rsid w:val="006D621F"/>
    <w:rsid w:val="006D63AD"/>
    <w:rsid w:val="006D6850"/>
    <w:rsid w:val="006D6A63"/>
    <w:rsid w:val="006D6AE2"/>
    <w:rsid w:val="006E0EAE"/>
    <w:rsid w:val="006E0F85"/>
    <w:rsid w:val="006E1FA9"/>
    <w:rsid w:val="006E3B10"/>
    <w:rsid w:val="006E3E8F"/>
    <w:rsid w:val="006E466C"/>
    <w:rsid w:val="006E4846"/>
    <w:rsid w:val="006E49DF"/>
    <w:rsid w:val="006E4FEA"/>
    <w:rsid w:val="006E51F5"/>
    <w:rsid w:val="006E5229"/>
    <w:rsid w:val="006E610B"/>
    <w:rsid w:val="006E71B9"/>
    <w:rsid w:val="006F06D1"/>
    <w:rsid w:val="006F0D3E"/>
    <w:rsid w:val="006F0F42"/>
    <w:rsid w:val="006F2514"/>
    <w:rsid w:val="006F2A56"/>
    <w:rsid w:val="006F3867"/>
    <w:rsid w:val="006F3A67"/>
    <w:rsid w:val="006F401C"/>
    <w:rsid w:val="006F4369"/>
    <w:rsid w:val="006F461D"/>
    <w:rsid w:val="006F4B1C"/>
    <w:rsid w:val="006F4D2A"/>
    <w:rsid w:val="006F4EB9"/>
    <w:rsid w:val="006F7AB8"/>
    <w:rsid w:val="00700B06"/>
    <w:rsid w:val="0070173E"/>
    <w:rsid w:val="0070196D"/>
    <w:rsid w:val="00701CC6"/>
    <w:rsid w:val="00701FB1"/>
    <w:rsid w:val="0070208C"/>
    <w:rsid w:val="00703D79"/>
    <w:rsid w:val="00704522"/>
    <w:rsid w:val="007050D6"/>
    <w:rsid w:val="0070510B"/>
    <w:rsid w:val="0070599C"/>
    <w:rsid w:val="00706A9A"/>
    <w:rsid w:val="00707FEA"/>
    <w:rsid w:val="00711194"/>
    <w:rsid w:val="00711422"/>
    <w:rsid w:val="007116FF"/>
    <w:rsid w:val="00711BF4"/>
    <w:rsid w:val="007128CE"/>
    <w:rsid w:val="00712ED0"/>
    <w:rsid w:val="0071392F"/>
    <w:rsid w:val="00713DBB"/>
    <w:rsid w:val="00714212"/>
    <w:rsid w:val="007143B4"/>
    <w:rsid w:val="00714474"/>
    <w:rsid w:val="007146A2"/>
    <w:rsid w:val="0071488D"/>
    <w:rsid w:val="00714B46"/>
    <w:rsid w:val="00714D26"/>
    <w:rsid w:val="007164DC"/>
    <w:rsid w:val="0071664B"/>
    <w:rsid w:val="00716FFD"/>
    <w:rsid w:val="0071711C"/>
    <w:rsid w:val="00721B2B"/>
    <w:rsid w:val="00722C6E"/>
    <w:rsid w:val="00723C54"/>
    <w:rsid w:val="00724105"/>
    <w:rsid w:val="00724780"/>
    <w:rsid w:val="007263E6"/>
    <w:rsid w:val="00726D0C"/>
    <w:rsid w:val="007274F5"/>
    <w:rsid w:val="007279AC"/>
    <w:rsid w:val="00727F6C"/>
    <w:rsid w:val="00731162"/>
    <w:rsid w:val="00731C15"/>
    <w:rsid w:val="00731E17"/>
    <w:rsid w:val="00731FF3"/>
    <w:rsid w:val="007321A1"/>
    <w:rsid w:val="0073242C"/>
    <w:rsid w:val="007330C0"/>
    <w:rsid w:val="00733F9F"/>
    <w:rsid w:val="00735017"/>
    <w:rsid w:val="00735294"/>
    <w:rsid w:val="007352E3"/>
    <w:rsid w:val="00736773"/>
    <w:rsid w:val="0073697C"/>
    <w:rsid w:val="00737960"/>
    <w:rsid w:val="007400B8"/>
    <w:rsid w:val="007408EA"/>
    <w:rsid w:val="007410AD"/>
    <w:rsid w:val="007414CA"/>
    <w:rsid w:val="00741684"/>
    <w:rsid w:val="00741CA3"/>
    <w:rsid w:val="00741F91"/>
    <w:rsid w:val="007420EA"/>
    <w:rsid w:val="007423EF"/>
    <w:rsid w:val="00742615"/>
    <w:rsid w:val="00742B1F"/>
    <w:rsid w:val="00742D4B"/>
    <w:rsid w:val="00743097"/>
    <w:rsid w:val="007448C8"/>
    <w:rsid w:val="00745405"/>
    <w:rsid w:val="00746816"/>
    <w:rsid w:val="0074690D"/>
    <w:rsid w:val="00746A98"/>
    <w:rsid w:val="00746CCE"/>
    <w:rsid w:val="00747693"/>
    <w:rsid w:val="00747E69"/>
    <w:rsid w:val="00751569"/>
    <w:rsid w:val="007519DD"/>
    <w:rsid w:val="00752124"/>
    <w:rsid w:val="00752884"/>
    <w:rsid w:val="00752B35"/>
    <w:rsid w:val="007531C6"/>
    <w:rsid w:val="0075370F"/>
    <w:rsid w:val="00753810"/>
    <w:rsid w:val="00753BEF"/>
    <w:rsid w:val="00754521"/>
    <w:rsid w:val="007549C8"/>
    <w:rsid w:val="00754E9A"/>
    <w:rsid w:val="00755005"/>
    <w:rsid w:val="007551E5"/>
    <w:rsid w:val="00755910"/>
    <w:rsid w:val="007563A1"/>
    <w:rsid w:val="0075668C"/>
    <w:rsid w:val="007567B1"/>
    <w:rsid w:val="00756FC2"/>
    <w:rsid w:val="00757129"/>
    <w:rsid w:val="0075789B"/>
    <w:rsid w:val="0076103C"/>
    <w:rsid w:val="00762FC0"/>
    <w:rsid w:val="00763036"/>
    <w:rsid w:val="007630AB"/>
    <w:rsid w:val="00763153"/>
    <w:rsid w:val="007634C9"/>
    <w:rsid w:val="007638A3"/>
    <w:rsid w:val="00764146"/>
    <w:rsid w:val="0076468B"/>
    <w:rsid w:val="00765F07"/>
    <w:rsid w:val="00766509"/>
    <w:rsid w:val="00766856"/>
    <w:rsid w:val="00767162"/>
    <w:rsid w:val="0076759E"/>
    <w:rsid w:val="00767654"/>
    <w:rsid w:val="00770074"/>
    <w:rsid w:val="0077041F"/>
    <w:rsid w:val="0077047F"/>
    <w:rsid w:val="00772470"/>
    <w:rsid w:val="0077258D"/>
    <w:rsid w:val="0077371F"/>
    <w:rsid w:val="00773A10"/>
    <w:rsid w:val="00773A22"/>
    <w:rsid w:val="00773F57"/>
    <w:rsid w:val="007747D8"/>
    <w:rsid w:val="007747E7"/>
    <w:rsid w:val="00774CA2"/>
    <w:rsid w:val="00774E3F"/>
    <w:rsid w:val="00775339"/>
    <w:rsid w:val="007753F8"/>
    <w:rsid w:val="007754ED"/>
    <w:rsid w:val="0077568C"/>
    <w:rsid w:val="00776156"/>
    <w:rsid w:val="00776713"/>
    <w:rsid w:val="0077742A"/>
    <w:rsid w:val="00777FEB"/>
    <w:rsid w:val="0078040D"/>
    <w:rsid w:val="007807D5"/>
    <w:rsid w:val="00780C2D"/>
    <w:rsid w:val="00781B82"/>
    <w:rsid w:val="00781C20"/>
    <w:rsid w:val="0078228B"/>
    <w:rsid w:val="00782AE1"/>
    <w:rsid w:val="00783462"/>
    <w:rsid w:val="007848BD"/>
    <w:rsid w:val="0078493A"/>
    <w:rsid w:val="00785720"/>
    <w:rsid w:val="00785B93"/>
    <w:rsid w:val="00785DDE"/>
    <w:rsid w:val="0078696E"/>
    <w:rsid w:val="00787423"/>
    <w:rsid w:val="0078775B"/>
    <w:rsid w:val="00787AAD"/>
    <w:rsid w:val="0079056C"/>
    <w:rsid w:val="007905F2"/>
    <w:rsid w:val="00791193"/>
    <w:rsid w:val="00791F08"/>
    <w:rsid w:val="0079202C"/>
    <w:rsid w:val="007923FA"/>
    <w:rsid w:val="007927D8"/>
    <w:rsid w:val="00792CC0"/>
    <w:rsid w:val="007933A6"/>
    <w:rsid w:val="007936D4"/>
    <w:rsid w:val="00793BF3"/>
    <w:rsid w:val="0079401C"/>
    <w:rsid w:val="00794125"/>
    <w:rsid w:val="0079417B"/>
    <w:rsid w:val="00795EDE"/>
    <w:rsid w:val="007967E2"/>
    <w:rsid w:val="00796BCA"/>
    <w:rsid w:val="0079732E"/>
    <w:rsid w:val="007A0071"/>
    <w:rsid w:val="007A040B"/>
    <w:rsid w:val="007A04D4"/>
    <w:rsid w:val="007A0EB2"/>
    <w:rsid w:val="007A1A21"/>
    <w:rsid w:val="007A2513"/>
    <w:rsid w:val="007A2811"/>
    <w:rsid w:val="007A2A13"/>
    <w:rsid w:val="007A331C"/>
    <w:rsid w:val="007A3C9C"/>
    <w:rsid w:val="007A4EA8"/>
    <w:rsid w:val="007A51CD"/>
    <w:rsid w:val="007A5C59"/>
    <w:rsid w:val="007B05E7"/>
    <w:rsid w:val="007B1723"/>
    <w:rsid w:val="007B2EB2"/>
    <w:rsid w:val="007B3340"/>
    <w:rsid w:val="007B3681"/>
    <w:rsid w:val="007B41A2"/>
    <w:rsid w:val="007B5EB1"/>
    <w:rsid w:val="007B60BB"/>
    <w:rsid w:val="007B68E4"/>
    <w:rsid w:val="007B6923"/>
    <w:rsid w:val="007B6B88"/>
    <w:rsid w:val="007B7CF8"/>
    <w:rsid w:val="007B7FEC"/>
    <w:rsid w:val="007C0154"/>
    <w:rsid w:val="007C0DBC"/>
    <w:rsid w:val="007C12D7"/>
    <w:rsid w:val="007C16BF"/>
    <w:rsid w:val="007C175E"/>
    <w:rsid w:val="007C1B80"/>
    <w:rsid w:val="007C2973"/>
    <w:rsid w:val="007C349D"/>
    <w:rsid w:val="007C3E77"/>
    <w:rsid w:val="007C46B1"/>
    <w:rsid w:val="007C4AB7"/>
    <w:rsid w:val="007C520A"/>
    <w:rsid w:val="007C5247"/>
    <w:rsid w:val="007C534A"/>
    <w:rsid w:val="007C5436"/>
    <w:rsid w:val="007C6952"/>
    <w:rsid w:val="007C6C4E"/>
    <w:rsid w:val="007D036A"/>
    <w:rsid w:val="007D1778"/>
    <w:rsid w:val="007D1970"/>
    <w:rsid w:val="007D1F13"/>
    <w:rsid w:val="007D31F7"/>
    <w:rsid w:val="007D328D"/>
    <w:rsid w:val="007D36BB"/>
    <w:rsid w:val="007D393D"/>
    <w:rsid w:val="007D39EA"/>
    <w:rsid w:val="007D3D04"/>
    <w:rsid w:val="007D3F5B"/>
    <w:rsid w:val="007D40B9"/>
    <w:rsid w:val="007D4FB0"/>
    <w:rsid w:val="007D53C9"/>
    <w:rsid w:val="007D68FC"/>
    <w:rsid w:val="007D6BEB"/>
    <w:rsid w:val="007D714D"/>
    <w:rsid w:val="007D7C48"/>
    <w:rsid w:val="007D7CE6"/>
    <w:rsid w:val="007D7F65"/>
    <w:rsid w:val="007E0339"/>
    <w:rsid w:val="007E271A"/>
    <w:rsid w:val="007E2DD8"/>
    <w:rsid w:val="007E3874"/>
    <w:rsid w:val="007E3A61"/>
    <w:rsid w:val="007E3AF0"/>
    <w:rsid w:val="007E3DB2"/>
    <w:rsid w:val="007E4746"/>
    <w:rsid w:val="007E4EF6"/>
    <w:rsid w:val="007E5841"/>
    <w:rsid w:val="007E5DEF"/>
    <w:rsid w:val="007E6B33"/>
    <w:rsid w:val="007E6CC9"/>
    <w:rsid w:val="007E7113"/>
    <w:rsid w:val="007E7A28"/>
    <w:rsid w:val="007F02E7"/>
    <w:rsid w:val="007F059D"/>
    <w:rsid w:val="007F11D1"/>
    <w:rsid w:val="007F16D3"/>
    <w:rsid w:val="007F322B"/>
    <w:rsid w:val="007F3750"/>
    <w:rsid w:val="007F4D99"/>
    <w:rsid w:val="007F4DAF"/>
    <w:rsid w:val="007F4E4C"/>
    <w:rsid w:val="007F5B4A"/>
    <w:rsid w:val="007F7E47"/>
    <w:rsid w:val="00800A7D"/>
    <w:rsid w:val="008012DE"/>
    <w:rsid w:val="00801880"/>
    <w:rsid w:val="008025A3"/>
    <w:rsid w:val="00802EBE"/>
    <w:rsid w:val="008044CF"/>
    <w:rsid w:val="0080463C"/>
    <w:rsid w:val="00806330"/>
    <w:rsid w:val="008069B1"/>
    <w:rsid w:val="00806B47"/>
    <w:rsid w:val="00806CD1"/>
    <w:rsid w:val="0080720C"/>
    <w:rsid w:val="008074BD"/>
    <w:rsid w:val="008120BA"/>
    <w:rsid w:val="008122E9"/>
    <w:rsid w:val="0081240B"/>
    <w:rsid w:val="008129B1"/>
    <w:rsid w:val="00812E15"/>
    <w:rsid w:val="00813F20"/>
    <w:rsid w:val="00814995"/>
    <w:rsid w:val="00814FAE"/>
    <w:rsid w:val="00815421"/>
    <w:rsid w:val="0081669C"/>
    <w:rsid w:val="008179C0"/>
    <w:rsid w:val="00817EF1"/>
    <w:rsid w:val="00821BA9"/>
    <w:rsid w:val="00821F7C"/>
    <w:rsid w:val="00822164"/>
    <w:rsid w:val="008229A3"/>
    <w:rsid w:val="00823A43"/>
    <w:rsid w:val="008241FE"/>
    <w:rsid w:val="0082429E"/>
    <w:rsid w:val="0082498F"/>
    <w:rsid w:val="00824D9E"/>
    <w:rsid w:val="008250A0"/>
    <w:rsid w:val="0082512A"/>
    <w:rsid w:val="00825F11"/>
    <w:rsid w:val="00830AA2"/>
    <w:rsid w:val="00832976"/>
    <w:rsid w:val="00832B3D"/>
    <w:rsid w:val="00833347"/>
    <w:rsid w:val="008338FC"/>
    <w:rsid w:val="00834070"/>
    <w:rsid w:val="0083413A"/>
    <w:rsid w:val="008345D9"/>
    <w:rsid w:val="00835197"/>
    <w:rsid w:val="00835510"/>
    <w:rsid w:val="00835981"/>
    <w:rsid w:val="008359B3"/>
    <w:rsid w:val="008359CE"/>
    <w:rsid w:val="00835DEF"/>
    <w:rsid w:val="00836C33"/>
    <w:rsid w:val="00840DB4"/>
    <w:rsid w:val="0084181E"/>
    <w:rsid w:val="00841CCE"/>
    <w:rsid w:val="00841E10"/>
    <w:rsid w:val="008421E7"/>
    <w:rsid w:val="0084233D"/>
    <w:rsid w:val="0084296E"/>
    <w:rsid w:val="0084348E"/>
    <w:rsid w:val="00844642"/>
    <w:rsid w:val="00844CE0"/>
    <w:rsid w:val="008455D7"/>
    <w:rsid w:val="008460A1"/>
    <w:rsid w:val="00846152"/>
    <w:rsid w:val="008463CE"/>
    <w:rsid w:val="0084673F"/>
    <w:rsid w:val="008471B6"/>
    <w:rsid w:val="00847A03"/>
    <w:rsid w:val="008514F3"/>
    <w:rsid w:val="00851718"/>
    <w:rsid w:val="008518DD"/>
    <w:rsid w:val="008520D0"/>
    <w:rsid w:val="00852643"/>
    <w:rsid w:val="008526E4"/>
    <w:rsid w:val="00853426"/>
    <w:rsid w:val="008538AB"/>
    <w:rsid w:val="00853A69"/>
    <w:rsid w:val="0085406B"/>
    <w:rsid w:val="00854A64"/>
    <w:rsid w:val="00854AB1"/>
    <w:rsid w:val="008552EC"/>
    <w:rsid w:val="008555F4"/>
    <w:rsid w:val="00855E27"/>
    <w:rsid w:val="00855F85"/>
    <w:rsid w:val="0086145E"/>
    <w:rsid w:val="0086160B"/>
    <w:rsid w:val="0086192D"/>
    <w:rsid w:val="00861BC0"/>
    <w:rsid w:val="00861C63"/>
    <w:rsid w:val="008626DA"/>
    <w:rsid w:val="00862B45"/>
    <w:rsid w:val="00863CEB"/>
    <w:rsid w:val="00865A27"/>
    <w:rsid w:val="00866413"/>
    <w:rsid w:val="008667E7"/>
    <w:rsid w:val="00866809"/>
    <w:rsid w:val="00866C5D"/>
    <w:rsid w:val="00867414"/>
    <w:rsid w:val="008700D6"/>
    <w:rsid w:val="008712FA"/>
    <w:rsid w:val="00871345"/>
    <w:rsid w:val="00872D92"/>
    <w:rsid w:val="008733BC"/>
    <w:rsid w:val="00874167"/>
    <w:rsid w:val="00874171"/>
    <w:rsid w:val="00874213"/>
    <w:rsid w:val="0087462A"/>
    <w:rsid w:val="00874BB5"/>
    <w:rsid w:val="00874C65"/>
    <w:rsid w:val="00875770"/>
    <w:rsid w:val="00875B6E"/>
    <w:rsid w:val="008760E3"/>
    <w:rsid w:val="00876280"/>
    <w:rsid w:val="0087641C"/>
    <w:rsid w:val="00880275"/>
    <w:rsid w:val="008802F9"/>
    <w:rsid w:val="008806E0"/>
    <w:rsid w:val="008807C9"/>
    <w:rsid w:val="008814C2"/>
    <w:rsid w:val="0088219D"/>
    <w:rsid w:val="00882A65"/>
    <w:rsid w:val="00882AB2"/>
    <w:rsid w:val="00883538"/>
    <w:rsid w:val="008841C8"/>
    <w:rsid w:val="00884A37"/>
    <w:rsid w:val="00885673"/>
    <w:rsid w:val="00885FD0"/>
    <w:rsid w:val="008868BC"/>
    <w:rsid w:val="008875AD"/>
    <w:rsid w:val="00887993"/>
    <w:rsid w:val="0089097B"/>
    <w:rsid w:val="00890B9F"/>
    <w:rsid w:val="00890BF6"/>
    <w:rsid w:val="00891C68"/>
    <w:rsid w:val="00891DFD"/>
    <w:rsid w:val="00891FFC"/>
    <w:rsid w:val="00892860"/>
    <w:rsid w:val="00894CCA"/>
    <w:rsid w:val="00894CCB"/>
    <w:rsid w:val="008951C1"/>
    <w:rsid w:val="00895248"/>
    <w:rsid w:val="00896751"/>
    <w:rsid w:val="00896878"/>
    <w:rsid w:val="00896C21"/>
    <w:rsid w:val="0089762A"/>
    <w:rsid w:val="00897C47"/>
    <w:rsid w:val="00897EA0"/>
    <w:rsid w:val="008A02D9"/>
    <w:rsid w:val="008A058C"/>
    <w:rsid w:val="008A0CC9"/>
    <w:rsid w:val="008A0D1B"/>
    <w:rsid w:val="008A31C2"/>
    <w:rsid w:val="008A376D"/>
    <w:rsid w:val="008A3787"/>
    <w:rsid w:val="008A52EA"/>
    <w:rsid w:val="008A532E"/>
    <w:rsid w:val="008A5CF0"/>
    <w:rsid w:val="008A63A4"/>
    <w:rsid w:val="008A6836"/>
    <w:rsid w:val="008A7AFE"/>
    <w:rsid w:val="008B0195"/>
    <w:rsid w:val="008B06F7"/>
    <w:rsid w:val="008B0838"/>
    <w:rsid w:val="008B2C05"/>
    <w:rsid w:val="008B3D7F"/>
    <w:rsid w:val="008B4648"/>
    <w:rsid w:val="008B5726"/>
    <w:rsid w:val="008B72D3"/>
    <w:rsid w:val="008B758A"/>
    <w:rsid w:val="008C0B91"/>
    <w:rsid w:val="008C0E62"/>
    <w:rsid w:val="008C0EE7"/>
    <w:rsid w:val="008C17BE"/>
    <w:rsid w:val="008C3A99"/>
    <w:rsid w:val="008C541B"/>
    <w:rsid w:val="008C5F41"/>
    <w:rsid w:val="008C6145"/>
    <w:rsid w:val="008C6A62"/>
    <w:rsid w:val="008C7E51"/>
    <w:rsid w:val="008D0B4E"/>
    <w:rsid w:val="008D0BE2"/>
    <w:rsid w:val="008D11DB"/>
    <w:rsid w:val="008D16D3"/>
    <w:rsid w:val="008D1A6B"/>
    <w:rsid w:val="008D1FF6"/>
    <w:rsid w:val="008D3231"/>
    <w:rsid w:val="008D33C3"/>
    <w:rsid w:val="008D3669"/>
    <w:rsid w:val="008D36C1"/>
    <w:rsid w:val="008D3747"/>
    <w:rsid w:val="008D3CD8"/>
    <w:rsid w:val="008D3DCD"/>
    <w:rsid w:val="008D4876"/>
    <w:rsid w:val="008D4D75"/>
    <w:rsid w:val="008D4DD8"/>
    <w:rsid w:val="008D6654"/>
    <w:rsid w:val="008D7303"/>
    <w:rsid w:val="008E00AF"/>
    <w:rsid w:val="008E0475"/>
    <w:rsid w:val="008E0B61"/>
    <w:rsid w:val="008E0C61"/>
    <w:rsid w:val="008E101D"/>
    <w:rsid w:val="008E1276"/>
    <w:rsid w:val="008E17E6"/>
    <w:rsid w:val="008E22B0"/>
    <w:rsid w:val="008E2CDD"/>
    <w:rsid w:val="008E3B43"/>
    <w:rsid w:val="008E3DCC"/>
    <w:rsid w:val="008E3E24"/>
    <w:rsid w:val="008E579D"/>
    <w:rsid w:val="008E592E"/>
    <w:rsid w:val="008E7644"/>
    <w:rsid w:val="008E7697"/>
    <w:rsid w:val="008F0011"/>
    <w:rsid w:val="008F09C5"/>
    <w:rsid w:val="008F0E77"/>
    <w:rsid w:val="008F167A"/>
    <w:rsid w:val="008F2128"/>
    <w:rsid w:val="008F220C"/>
    <w:rsid w:val="008F3589"/>
    <w:rsid w:val="008F3936"/>
    <w:rsid w:val="008F47E3"/>
    <w:rsid w:val="008F5635"/>
    <w:rsid w:val="008F5771"/>
    <w:rsid w:val="008F5EF8"/>
    <w:rsid w:val="008F6937"/>
    <w:rsid w:val="008F6A7B"/>
    <w:rsid w:val="008F7542"/>
    <w:rsid w:val="00900356"/>
    <w:rsid w:val="0090175B"/>
    <w:rsid w:val="00901AC1"/>
    <w:rsid w:val="00903199"/>
    <w:rsid w:val="0090343F"/>
    <w:rsid w:val="00904019"/>
    <w:rsid w:val="009049CA"/>
    <w:rsid w:val="00905B5C"/>
    <w:rsid w:val="0090643B"/>
    <w:rsid w:val="0090689F"/>
    <w:rsid w:val="009077F2"/>
    <w:rsid w:val="00907AD0"/>
    <w:rsid w:val="009111CD"/>
    <w:rsid w:val="00912451"/>
    <w:rsid w:val="00912BD0"/>
    <w:rsid w:val="00912F61"/>
    <w:rsid w:val="009135C3"/>
    <w:rsid w:val="00913F7D"/>
    <w:rsid w:val="009144BB"/>
    <w:rsid w:val="00914D78"/>
    <w:rsid w:val="00914F5A"/>
    <w:rsid w:val="00915551"/>
    <w:rsid w:val="00916653"/>
    <w:rsid w:val="00920EC5"/>
    <w:rsid w:val="00921087"/>
    <w:rsid w:val="009222D2"/>
    <w:rsid w:val="009238FD"/>
    <w:rsid w:val="0092461D"/>
    <w:rsid w:val="00924EAB"/>
    <w:rsid w:val="00925B2A"/>
    <w:rsid w:val="00926770"/>
    <w:rsid w:val="009273A0"/>
    <w:rsid w:val="00930D79"/>
    <w:rsid w:val="0093148E"/>
    <w:rsid w:val="00931DEE"/>
    <w:rsid w:val="009324C6"/>
    <w:rsid w:val="00932623"/>
    <w:rsid w:val="0093358A"/>
    <w:rsid w:val="00933899"/>
    <w:rsid w:val="009341ED"/>
    <w:rsid w:val="009349B3"/>
    <w:rsid w:val="00934B16"/>
    <w:rsid w:val="00934C34"/>
    <w:rsid w:val="00935332"/>
    <w:rsid w:val="009353F2"/>
    <w:rsid w:val="00935758"/>
    <w:rsid w:val="0093680F"/>
    <w:rsid w:val="00937CE7"/>
    <w:rsid w:val="009408A0"/>
    <w:rsid w:val="00941859"/>
    <w:rsid w:val="00941A6A"/>
    <w:rsid w:val="0094250B"/>
    <w:rsid w:val="00943253"/>
    <w:rsid w:val="00943342"/>
    <w:rsid w:val="0094362F"/>
    <w:rsid w:val="009451B2"/>
    <w:rsid w:val="0094785E"/>
    <w:rsid w:val="009478C0"/>
    <w:rsid w:val="009502A0"/>
    <w:rsid w:val="00950899"/>
    <w:rsid w:val="00950983"/>
    <w:rsid w:val="00951201"/>
    <w:rsid w:val="0095426A"/>
    <w:rsid w:val="009545D9"/>
    <w:rsid w:val="00955179"/>
    <w:rsid w:val="00956AAA"/>
    <w:rsid w:val="0095714F"/>
    <w:rsid w:val="00957437"/>
    <w:rsid w:val="00960261"/>
    <w:rsid w:val="009619C6"/>
    <w:rsid w:val="00962060"/>
    <w:rsid w:val="009628DC"/>
    <w:rsid w:val="00962A37"/>
    <w:rsid w:val="009636B5"/>
    <w:rsid w:val="00963972"/>
    <w:rsid w:val="00964130"/>
    <w:rsid w:val="0096526F"/>
    <w:rsid w:val="0096540F"/>
    <w:rsid w:val="00965EC9"/>
    <w:rsid w:val="00966297"/>
    <w:rsid w:val="009668C9"/>
    <w:rsid w:val="009675BF"/>
    <w:rsid w:val="00967CA0"/>
    <w:rsid w:val="009725B1"/>
    <w:rsid w:val="0097260B"/>
    <w:rsid w:val="009728A3"/>
    <w:rsid w:val="00972F6B"/>
    <w:rsid w:val="00973108"/>
    <w:rsid w:val="0097542B"/>
    <w:rsid w:val="00975433"/>
    <w:rsid w:val="00975C08"/>
    <w:rsid w:val="00975E2F"/>
    <w:rsid w:val="009768B2"/>
    <w:rsid w:val="00977669"/>
    <w:rsid w:val="00977AAA"/>
    <w:rsid w:val="00977BFC"/>
    <w:rsid w:val="00977CF4"/>
    <w:rsid w:val="0098020E"/>
    <w:rsid w:val="00980248"/>
    <w:rsid w:val="009810E9"/>
    <w:rsid w:val="00982304"/>
    <w:rsid w:val="00982EF1"/>
    <w:rsid w:val="0098348B"/>
    <w:rsid w:val="00983FA9"/>
    <w:rsid w:val="00984217"/>
    <w:rsid w:val="0098429C"/>
    <w:rsid w:val="00985097"/>
    <w:rsid w:val="0098635E"/>
    <w:rsid w:val="00986455"/>
    <w:rsid w:val="009870BB"/>
    <w:rsid w:val="009874E1"/>
    <w:rsid w:val="0099014F"/>
    <w:rsid w:val="009903A8"/>
    <w:rsid w:val="009913BF"/>
    <w:rsid w:val="009915BE"/>
    <w:rsid w:val="00991695"/>
    <w:rsid w:val="0099193E"/>
    <w:rsid w:val="0099337E"/>
    <w:rsid w:val="00993D66"/>
    <w:rsid w:val="009943AD"/>
    <w:rsid w:val="00994481"/>
    <w:rsid w:val="00994AF9"/>
    <w:rsid w:val="00995A1F"/>
    <w:rsid w:val="0099624E"/>
    <w:rsid w:val="009965BA"/>
    <w:rsid w:val="009965D0"/>
    <w:rsid w:val="009969C7"/>
    <w:rsid w:val="00996B94"/>
    <w:rsid w:val="00996D48"/>
    <w:rsid w:val="009972CD"/>
    <w:rsid w:val="0099774E"/>
    <w:rsid w:val="009A01FD"/>
    <w:rsid w:val="009A18A9"/>
    <w:rsid w:val="009A24CE"/>
    <w:rsid w:val="009A293B"/>
    <w:rsid w:val="009A2945"/>
    <w:rsid w:val="009A5773"/>
    <w:rsid w:val="009A5D0C"/>
    <w:rsid w:val="009A6121"/>
    <w:rsid w:val="009A6925"/>
    <w:rsid w:val="009B0547"/>
    <w:rsid w:val="009B09D7"/>
    <w:rsid w:val="009B1388"/>
    <w:rsid w:val="009B1ECC"/>
    <w:rsid w:val="009B28A8"/>
    <w:rsid w:val="009B4817"/>
    <w:rsid w:val="009B58B5"/>
    <w:rsid w:val="009B58F8"/>
    <w:rsid w:val="009B59EF"/>
    <w:rsid w:val="009B5C0A"/>
    <w:rsid w:val="009B7445"/>
    <w:rsid w:val="009B7A3A"/>
    <w:rsid w:val="009B7C28"/>
    <w:rsid w:val="009C0149"/>
    <w:rsid w:val="009C0356"/>
    <w:rsid w:val="009C0675"/>
    <w:rsid w:val="009C071F"/>
    <w:rsid w:val="009C2581"/>
    <w:rsid w:val="009C2C85"/>
    <w:rsid w:val="009C2FDD"/>
    <w:rsid w:val="009C3228"/>
    <w:rsid w:val="009C3F2D"/>
    <w:rsid w:val="009C4507"/>
    <w:rsid w:val="009C4671"/>
    <w:rsid w:val="009C497D"/>
    <w:rsid w:val="009C5251"/>
    <w:rsid w:val="009C58FC"/>
    <w:rsid w:val="009C6B5C"/>
    <w:rsid w:val="009C6D27"/>
    <w:rsid w:val="009C70C5"/>
    <w:rsid w:val="009C7388"/>
    <w:rsid w:val="009C7E48"/>
    <w:rsid w:val="009D0311"/>
    <w:rsid w:val="009D11FF"/>
    <w:rsid w:val="009D1314"/>
    <w:rsid w:val="009D1DF6"/>
    <w:rsid w:val="009D32F8"/>
    <w:rsid w:val="009D334C"/>
    <w:rsid w:val="009D4190"/>
    <w:rsid w:val="009D5566"/>
    <w:rsid w:val="009D5F17"/>
    <w:rsid w:val="009D6932"/>
    <w:rsid w:val="009D75C7"/>
    <w:rsid w:val="009D7A60"/>
    <w:rsid w:val="009D7EC9"/>
    <w:rsid w:val="009D7F44"/>
    <w:rsid w:val="009E0347"/>
    <w:rsid w:val="009E0934"/>
    <w:rsid w:val="009E13C9"/>
    <w:rsid w:val="009E144B"/>
    <w:rsid w:val="009E1594"/>
    <w:rsid w:val="009E2214"/>
    <w:rsid w:val="009E23AF"/>
    <w:rsid w:val="009E2744"/>
    <w:rsid w:val="009E2D25"/>
    <w:rsid w:val="009E404A"/>
    <w:rsid w:val="009E4821"/>
    <w:rsid w:val="009E50CE"/>
    <w:rsid w:val="009E5F35"/>
    <w:rsid w:val="009E68FE"/>
    <w:rsid w:val="009E6AED"/>
    <w:rsid w:val="009E79E5"/>
    <w:rsid w:val="009F035A"/>
    <w:rsid w:val="009F0FE2"/>
    <w:rsid w:val="009F1957"/>
    <w:rsid w:val="009F1BB6"/>
    <w:rsid w:val="009F2158"/>
    <w:rsid w:val="009F24D6"/>
    <w:rsid w:val="009F2BFF"/>
    <w:rsid w:val="009F42C0"/>
    <w:rsid w:val="009F5C60"/>
    <w:rsid w:val="009F755E"/>
    <w:rsid w:val="009F7E1D"/>
    <w:rsid w:val="00A007B5"/>
    <w:rsid w:val="00A00C6D"/>
    <w:rsid w:val="00A018E7"/>
    <w:rsid w:val="00A01ABD"/>
    <w:rsid w:val="00A02D76"/>
    <w:rsid w:val="00A02F48"/>
    <w:rsid w:val="00A035F5"/>
    <w:rsid w:val="00A03F9E"/>
    <w:rsid w:val="00A04F2B"/>
    <w:rsid w:val="00A05C43"/>
    <w:rsid w:val="00A05D92"/>
    <w:rsid w:val="00A05E07"/>
    <w:rsid w:val="00A06262"/>
    <w:rsid w:val="00A06280"/>
    <w:rsid w:val="00A0630D"/>
    <w:rsid w:val="00A064B3"/>
    <w:rsid w:val="00A06853"/>
    <w:rsid w:val="00A06909"/>
    <w:rsid w:val="00A06BA0"/>
    <w:rsid w:val="00A07188"/>
    <w:rsid w:val="00A11143"/>
    <w:rsid w:val="00A11A14"/>
    <w:rsid w:val="00A11C95"/>
    <w:rsid w:val="00A12B79"/>
    <w:rsid w:val="00A13BB8"/>
    <w:rsid w:val="00A13D49"/>
    <w:rsid w:val="00A1409B"/>
    <w:rsid w:val="00A142DC"/>
    <w:rsid w:val="00A15203"/>
    <w:rsid w:val="00A154B6"/>
    <w:rsid w:val="00A1679D"/>
    <w:rsid w:val="00A172BF"/>
    <w:rsid w:val="00A174FE"/>
    <w:rsid w:val="00A17811"/>
    <w:rsid w:val="00A209F0"/>
    <w:rsid w:val="00A2321C"/>
    <w:rsid w:val="00A23688"/>
    <w:rsid w:val="00A23B47"/>
    <w:rsid w:val="00A23F1F"/>
    <w:rsid w:val="00A25267"/>
    <w:rsid w:val="00A25C3E"/>
    <w:rsid w:val="00A25CEC"/>
    <w:rsid w:val="00A261D8"/>
    <w:rsid w:val="00A267BF"/>
    <w:rsid w:val="00A274B6"/>
    <w:rsid w:val="00A27EA3"/>
    <w:rsid w:val="00A3047D"/>
    <w:rsid w:val="00A30CF7"/>
    <w:rsid w:val="00A30EB7"/>
    <w:rsid w:val="00A30F91"/>
    <w:rsid w:val="00A31017"/>
    <w:rsid w:val="00A31260"/>
    <w:rsid w:val="00A314F6"/>
    <w:rsid w:val="00A33C9C"/>
    <w:rsid w:val="00A34000"/>
    <w:rsid w:val="00A34876"/>
    <w:rsid w:val="00A35351"/>
    <w:rsid w:val="00A3556E"/>
    <w:rsid w:val="00A358BC"/>
    <w:rsid w:val="00A36459"/>
    <w:rsid w:val="00A366E8"/>
    <w:rsid w:val="00A369EA"/>
    <w:rsid w:val="00A37F58"/>
    <w:rsid w:val="00A400FD"/>
    <w:rsid w:val="00A4038E"/>
    <w:rsid w:val="00A40D25"/>
    <w:rsid w:val="00A414F1"/>
    <w:rsid w:val="00A41686"/>
    <w:rsid w:val="00A42266"/>
    <w:rsid w:val="00A4226D"/>
    <w:rsid w:val="00A4238B"/>
    <w:rsid w:val="00A44889"/>
    <w:rsid w:val="00A45807"/>
    <w:rsid w:val="00A45D19"/>
    <w:rsid w:val="00A45F58"/>
    <w:rsid w:val="00A478DF"/>
    <w:rsid w:val="00A47F22"/>
    <w:rsid w:val="00A50A95"/>
    <w:rsid w:val="00A5161C"/>
    <w:rsid w:val="00A519D8"/>
    <w:rsid w:val="00A52883"/>
    <w:rsid w:val="00A52BC8"/>
    <w:rsid w:val="00A5320C"/>
    <w:rsid w:val="00A532D4"/>
    <w:rsid w:val="00A53437"/>
    <w:rsid w:val="00A54732"/>
    <w:rsid w:val="00A54C52"/>
    <w:rsid w:val="00A54EBB"/>
    <w:rsid w:val="00A55CF6"/>
    <w:rsid w:val="00A55E77"/>
    <w:rsid w:val="00A560B8"/>
    <w:rsid w:val="00A562F2"/>
    <w:rsid w:val="00A56C22"/>
    <w:rsid w:val="00A5748A"/>
    <w:rsid w:val="00A57C98"/>
    <w:rsid w:val="00A57E5A"/>
    <w:rsid w:val="00A601E8"/>
    <w:rsid w:val="00A61359"/>
    <w:rsid w:val="00A61748"/>
    <w:rsid w:val="00A63137"/>
    <w:rsid w:val="00A6426B"/>
    <w:rsid w:val="00A644C4"/>
    <w:rsid w:val="00A65190"/>
    <w:rsid w:val="00A652A6"/>
    <w:rsid w:val="00A652C5"/>
    <w:rsid w:val="00A65430"/>
    <w:rsid w:val="00A66197"/>
    <w:rsid w:val="00A67B5A"/>
    <w:rsid w:val="00A7019F"/>
    <w:rsid w:val="00A73465"/>
    <w:rsid w:val="00A73799"/>
    <w:rsid w:val="00A73A3B"/>
    <w:rsid w:val="00A746EC"/>
    <w:rsid w:val="00A74A1B"/>
    <w:rsid w:val="00A74D85"/>
    <w:rsid w:val="00A74F0F"/>
    <w:rsid w:val="00A751A5"/>
    <w:rsid w:val="00A75A6A"/>
    <w:rsid w:val="00A7639B"/>
    <w:rsid w:val="00A8078A"/>
    <w:rsid w:val="00A810EA"/>
    <w:rsid w:val="00A81140"/>
    <w:rsid w:val="00A81D12"/>
    <w:rsid w:val="00A82C35"/>
    <w:rsid w:val="00A82CFE"/>
    <w:rsid w:val="00A84C15"/>
    <w:rsid w:val="00A84F66"/>
    <w:rsid w:val="00A864BC"/>
    <w:rsid w:val="00A87E72"/>
    <w:rsid w:val="00A90204"/>
    <w:rsid w:val="00A90860"/>
    <w:rsid w:val="00A91C81"/>
    <w:rsid w:val="00A9468A"/>
    <w:rsid w:val="00A955EF"/>
    <w:rsid w:val="00A95CCF"/>
    <w:rsid w:val="00A963F4"/>
    <w:rsid w:val="00A9716E"/>
    <w:rsid w:val="00A97244"/>
    <w:rsid w:val="00A97810"/>
    <w:rsid w:val="00A97A8F"/>
    <w:rsid w:val="00AA0A0D"/>
    <w:rsid w:val="00AA1680"/>
    <w:rsid w:val="00AA2206"/>
    <w:rsid w:val="00AA283C"/>
    <w:rsid w:val="00AA3788"/>
    <w:rsid w:val="00AA38EC"/>
    <w:rsid w:val="00AA4A9C"/>
    <w:rsid w:val="00AA4AF7"/>
    <w:rsid w:val="00AA56F7"/>
    <w:rsid w:val="00AA63FD"/>
    <w:rsid w:val="00AB0E06"/>
    <w:rsid w:val="00AB0E9F"/>
    <w:rsid w:val="00AB27CA"/>
    <w:rsid w:val="00AB291F"/>
    <w:rsid w:val="00AB2D8E"/>
    <w:rsid w:val="00AB2EE7"/>
    <w:rsid w:val="00AB4713"/>
    <w:rsid w:val="00AB5A07"/>
    <w:rsid w:val="00AB5DE2"/>
    <w:rsid w:val="00AB6001"/>
    <w:rsid w:val="00AB623E"/>
    <w:rsid w:val="00AB6510"/>
    <w:rsid w:val="00AB67DC"/>
    <w:rsid w:val="00AB69B4"/>
    <w:rsid w:val="00AB6DBA"/>
    <w:rsid w:val="00AB79F5"/>
    <w:rsid w:val="00AB7FE2"/>
    <w:rsid w:val="00AC0509"/>
    <w:rsid w:val="00AC083F"/>
    <w:rsid w:val="00AC11C0"/>
    <w:rsid w:val="00AC123C"/>
    <w:rsid w:val="00AC15FF"/>
    <w:rsid w:val="00AC1B43"/>
    <w:rsid w:val="00AC1C03"/>
    <w:rsid w:val="00AC21FA"/>
    <w:rsid w:val="00AC46D8"/>
    <w:rsid w:val="00AC52A5"/>
    <w:rsid w:val="00AC7964"/>
    <w:rsid w:val="00AC7B13"/>
    <w:rsid w:val="00AD069C"/>
    <w:rsid w:val="00AD1E0D"/>
    <w:rsid w:val="00AD28EC"/>
    <w:rsid w:val="00AD2DF4"/>
    <w:rsid w:val="00AD39D3"/>
    <w:rsid w:val="00AD4742"/>
    <w:rsid w:val="00AD5296"/>
    <w:rsid w:val="00AD52B4"/>
    <w:rsid w:val="00AD538A"/>
    <w:rsid w:val="00AD5811"/>
    <w:rsid w:val="00AD70D5"/>
    <w:rsid w:val="00AD7F8B"/>
    <w:rsid w:val="00AE113C"/>
    <w:rsid w:val="00AE113F"/>
    <w:rsid w:val="00AE12A6"/>
    <w:rsid w:val="00AE138B"/>
    <w:rsid w:val="00AE15AE"/>
    <w:rsid w:val="00AE15C7"/>
    <w:rsid w:val="00AE1E7A"/>
    <w:rsid w:val="00AE2420"/>
    <w:rsid w:val="00AE246C"/>
    <w:rsid w:val="00AE2576"/>
    <w:rsid w:val="00AE2A9B"/>
    <w:rsid w:val="00AE341B"/>
    <w:rsid w:val="00AE3F7F"/>
    <w:rsid w:val="00AE4E18"/>
    <w:rsid w:val="00AE4EAB"/>
    <w:rsid w:val="00AE591C"/>
    <w:rsid w:val="00AE64C1"/>
    <w:rsid w:val="00AE687E"/>
    <w:rsid w:val="00AE7DB0"/>
    <w:rsid w:val="00AF0087"/>
    <w:rsid w:val="00AF097B"/>
    <w:rsid w:val="00AF1717"/>
    <w:rsid w:val="00AF1833"/>
    <w:rsid w:val="00AF2781"/>
    <w:rsid w:val="00AF2BA6"/>
    <w:rsid w:val="00AF4E29"/>
    <w:rsid w:val="00AF537C"/>
    <w:rsid w:val="00AF647E"/>
    <w:rsid w:val="00AF6BFD"/>
    <w:rsid w:val="00AF780C"/>
    <w:rsid w:val="00B0072F"/>
    <w:rsid w:val="00B014F8"/>
    <w:rsid w:val="00B0170E"/>
    <w:rsid w:val="00B01FBA"/>
    <w:rsid w:val="00B022B5"/>
    <w:rsid w:val="00B02301"/>
    <w:rsid w:val="00B02AEA"/>
    <w:rsid w:val="00B0385C"/>
    <w:rsid w:val="00B03BFA"/>
    <w:rsid w:val="00B0403E"/>
    <w:rsid w:val="00B043C5"/>
    <w:rsid w:val="00B052D5"/>
    <w:rsid w:val="00B05BAC"/>
    <w:rsid w:val="00B06689"/>
    <w:rsid w:val="00B06764"/>
    <w:rsid w:val="00B073C5"/>
    <w:rsid w:val="00B07DC2"/>
    <w:rsid w:val="00B07E11"/>
    <w:rsid w:val="00B10082"/>
    <w:rsid w:val="00B115AC"/>
    <w:rsid w:val="00B140C0"/>
    <w:rsid w:val="00B148ED"/>
    <w:rsid w:val="00B150CE"/>
    <w:rsid w:val="00B15143"/>
    <w:rsid w:val="00B15466"/>
    <w:rsid w:val="00B20B28"/>
    <w:rsid w:val="00B219BC"/>
    <w:rsid w:val="00B21A54"/>
    <w:rsid w:val="00B247FF"/>
    <w:rsid w:val="00B24EE9"/>
    <w:rsid w:val="00B25612"/>
    <w:rsid w:val="00B25672"/>
    <w:rsid w:val="00B25AD2"/>
    <w:rsid w:val="00B25F76"/>
    <w:rsid w:val="00B2633E"/>
    <w:rsid w:val="00B273B3"/>
    <w:rsid w:val="00B27A6D"/>
    <w:rsid w:val="00B313DB"/>
    <w:rsid w:val="00B31AEA"/>
    <w:rsid w:val="00B33073"/>
    <w:rsid w:val="00B33139"/>
    <w:rsid w:val="00B340BF"/>
    <w:rsid w:val="00B369D3"/>
    <w:rsid w:val="00B37145"/>
    <w:rsid w:val="00B37ED4"/>
    <w:rsid w:val="00B41299"/>
    <w:rsid w:val="00B41916"/>
    <w:rsid w:val="00B42252"/>
    <w:rsid w:val="00B426BB"/>
    <w:rsid w:val="00B42BA8"/>
    <w:rsid w:val="00B43307"/>
    <w:rsid w:val="00B4369A"/>
    <w:rsid w:val="00B4387D"/>
    <w:rsid w:val="00B43A92"/>
    <w:rsid w:val="00B44A38"/>
    <w:rsid w:val="00B454BD"/>
    <w:rsid w:val="00B465A4"/>
    <w:rsid w:val="00B50A2D"/>
    <w:rsid w:val="00B51459"/>
    <w:rsid w:val="00B527DE"/>
    <w:rsid w:val="00B53C08"/>
    <w:rsid w:val="00B546CA"/>
    <w:rsid w:val="00B546E4"/>
    <w:rsid w:val="00B5480E"/>
    <w:rsid w:val="00B5593F"/>
    <w:rsid w:val="00B55B4B"/>
    <w:rsid w:val="00B563A2"/>
    <w:rsid w:val="00B56586"/>
    <w:rsid w:val="00B56AD1"/>
    <w:rsid w:val="00B57A7E"/>
    <w:rsid w:val="00B57BA3"/>
    <w:rsid w:val="00B60389"/>
    <w:rsid w:val="00B60B9D"/>
    <w:rsid w:val="00B60FFB"/>
    <w:rsid w:val="00B611A1"/>
    <w:rsid w:val="00B6334E"/>
    <w:rsid w:val="00B63C31"/>
    <w:rsid w:val="00B645B7"/>
    <w:rsid w:val="00B64A27"/>
    <w:rsid w:val="00B664CB"/>
    <w:rsid w:val="00B66C4F"/>
    <w:rsid w:val="00B67286"/>
    <w:rsid w:val="00B701CA"/>
    <w:rsid w:val="00B72968"/>
    <w:rsid w:val="00B731D1"/>
    <w:rsid w:val="00B73EA8"/>
    <w:rsid w:val="00B73F03"/>
    <w:rsid w:val="00B73F55"/>
    <w:rsid w:val="00B74058"/>
    <w:rsid w:val="00B75949"/>
    <w:rsid w:val="00B75C3D"/>
    <w:rsid w:val="00B7630F"/>
    <w:rsid w:val="00B76708"/>
    <w:rsid w:val="00B773F0"/>
    <w:rsid w:val="00B7782E"/>
    <w:rsid w:val="00B80550"/>
    <w:rsid w:val="00B805F2"/>
    <w:rsid w:val="00B80A0A"/>
    <w:rsid w:val="00B80AC3"/>
    <w:rsid w:val="00B82941"/>
    <w:rsid w:val="00B836A8"/>
    <w:rsid w:val="00B8457C"/>
    <w:rsid w:val="00B84597"/>
    <w:rsid w:val="00B847EF"/>
    <w:rsid w:val="00B84ABC"/>
    <w:rsid w:val="00B85385"/>
    <w:rsid w:val="00B861FD"/>
    <w:rsid w:val="00B86B11"/>
    <w:rsid w:val="00B87030"/>
    <w:rsid w:val="00B874C7"/>
    <w:rsid w:val="00B87A64"/>
    <w:rsid w:val="00B9028F"/>
    <w:rsid w:val="00B91905"/>
    <w:rsid w:val="00B9244D"/>
    <w:rsid w:val="00B933FE"/>
    <w:rsid w:val="00B94799"/>
    <w:rsid w:val="00B94878"/>
    <w:rsid w:val="00B94AE1"/>
    <w:rsid w:val="00B94E2D"/>
    <w:rsid w:val="00B94E7D"/>
    <w:rsid w:val="00B97C27"/>
    <w:rsid w:val="00B97D2C"/>
    <w:rsid w:val="00BA107A"/>
    <w:rsid w:val="00BA1DE1"/>
    <w:rsid w:val="00BA39A2"/>
    <w:rsid w:val="00BA4CC6"/>
    <w:rsid w:val="00BA4F2C"/>
    <w:rsid w:val="00BA538C"/>
    <w:rsid w:val="00BA555B"/>
    <w:rsid w:val="00BA61BB"/>
    <w:rsid w:val="00BA6839"/>
    <w:rsid w:val="00BB0B19"/>
    <w:rsid w:val="00BB0BB8"/>
    <w:rsid w:val="00BB105E"/>
    <w:rsid w:val="00BB2B17"/>
    <w:rsid w:val="00BB3370"/>
    <w:rsid w:val="00BB5466"/>
    <w:rsid w:val="00BB56FE"/>
    <w:rsid w:val="00BB5F5A"/>
    <w:rsid w:val="00BB7485"/>
    <w:rsid w:val="00BB7903"/>
    <w:rsid w:val="00BB7DC7"/>
    <w:rsid w:val="00BB7DEF"/>
    <w:rsid w:val="00BC0710"/>
    <w:rsid w:val="00BC0944"/>
    <w:rsid w:val="00BC1591"/>
    <w:rsid w:val="00BC3DB3"/>
    <w:rsid w:val="00BC41EF"/>
    <w:rsid w:val="00BC5B52"/>
    <w:rsid w:val="00BC620C"/>
    <w:rsid w:val="00BC69CF"/>
    <w:rsid w:val="00BC7BF8"/>
    <w:rsid w:val="00BD02FD"/>
    <w:rsid w:val="00BD0482"/>
    <w:rsid w:val="00BD05E4"/>
    <w:rsid w:val="00BD0B75"/>
    <w:rsid w:val="00BD0BB1"/>
    <w:rsid w:val="00BD1359"/>
    <w:rsid w:val="00BD20F8"/>
    <w:rsid w:val="00BD3524"/>
    <w:rsid w:val="00BD3A44"/>
    <w:rsid w:val="00BD3CDC"/>
    <w:rsid w:val="00BD4ACF"/>
    <w:rsid w:val="00BD5023"/>
    <w:rsid w:val="00BD5728"/>
    <w:rsid w:val="00BD576F"/>
    <w:rsid w:val="00BD6492"/>
    <w:rsid w:val="00BD651B"/>
    <w:rsid w:val="00BD687C"/>
    <w:rsid w:val="00BD6AA5"/>
    <w:rsid w:val="00BD7308"/>
    <w:rsid w:val="00BD7417"/>
    <w:rsid w:val="00BE0370"/>
    <w:rsid w:val="00BE1250"/>
    <w:rsid w:val="00BE1F90"/>
    <w:rsid w:val="00BE2120"/>
    <w:rsid w:val="00BE25E8"/>
    <w:rsid w:val="00BE279B"/>
    <w:rsid w:val="00BE2F7D"/>
    <w:rsid w:val="00BE367E"/>
    <w:rsid w:val="00BE484B"/>
    <w:rsid w:val="00BE50D5"/>
    <w:rsid w:val="00BE5270"/>
    <w:rsid w:val="00BE59E1"/>
    <w:rsid w:val="00BE5B47"/>
    <w:rsid w:val="00BE658D"/>
    <w:rsid w:val="00BF0740"/>
    <w:rsid w:val="00BF0BF2"/>
    <w:rsid w:val="00BF3809"/>
    <w:rsid w:val="00BF3BAD"/>
    <w:rsid w:val="00BF40DB"/>
    <w:rsid w:val="00BF47D1"/>
    <w:rsid w:val="00BF49F2"/>
    <w:rsid w:val="00BF4DD4"/>
    <w:rsid w:val="00BF5012"/>
    <w:rsid w:val="00BF778F"/>
    <w:rsid w:val="00BF797F"/>
    <w:rsid w:val="00BF7C5C"/>
    <w:rsid w:val="00BF7CFA"/>
    <w:rsid w:val="00C009C1"/>
    <w:rsid w:val="00C00FCA"/>
    <w:rsid w:val="00C019EF"/>
    <w:rsid w:val="00C01B11"/>
    <w:rsid w:val="00C02250"/>
    <w:rsid w:val="00C02665"/>
    <w:rsid w:val="00C02808"/>
    <w:rsid w:val="00C0343D"/>
    <w:rsid w:val="00C03CDB"/>
    <w:rsid w:val="00C04D84"/>
    <w:rsid w:val="00C05CE7"/>
    <w:rsid w:val="00C065A8"/>
    <w:rsid w:val="00C067F4"/>
    <w:rsid w:val="00C06AD8"/>
    <w:rsid w:val="00C06CA0"/>
    <w:rsid w:val="00C07C4F"/>
    <w:rsid w:val="00C07F1F"/>
    <w:rsid w:val="00C11180"/>
    <w:rsid w:val="00C1154C"/>
    <w:rsid w:val="00C1159D"/>
    <w:rsid w:val="00C139BA"/>
    <w:rsid w:val="00C13AB8"/>
    <w:rsid w:val="00C14126"/>
    <w:rsid w:val="00C1480F"/>
    <w:rsid w:val="00C1518B"/>
    <w:rsid w:val="00C15644"/>
    <w:rsid w:val="00C15B97"/>
    <w:rsid w:val="00C15D27"/>
    <w:rsid w:val="00C17F2E"/>
    <w:rsid w:val="00C20BF5"/>
    <w:rsid w:val="00C20FF8"/>
    <w:rsid w:val="00C213E7"/>
    <w:rsid w:val="00C21709"/>
    <w:rsid w:val="00C222CA"/>
    <w:rsid w:val="00C22420"/>
    <w:rsid w:val="00C22CAF"/>
    <w:rsid w:val="00C233C4"/>
    <w:rsid w:val="00C23D95"/>
    <w:rsid w:val="00C240AA"/>
    <w:rsid w:val="00C24CFF"/>
    <w:rsid w:val="00C25C7A"/>
    <w:rsid w:val="00C267DD"/>
    <w:rsid w:val="00C271D8"/>
    <w:rsid w:val="00C300D8"/>
    <w:rsid w:val="00C308E2"/>
    <w:rsid w:val="00C30FC5"/>
    <w:rsid w:val="00C31B48"/>
    <w:rsid w:val="00C3264B"/>
    <w:rsid w:val="00C328AF"/>
    <w:rsid w:val="00C33A2E"/>
    <w:rsid w:val="00C33A5D"/>
    <w:rsid w:val="00C3451D"/>
    <w:rsid w:val="00C34598"/>
    <w:rsid w:val="00C34C2D"/>
    <w:rsid w:val="00C35795"/>
    <w:rsid w:val="00C357FD"/>
    <w:rsid w:val="00C366D7"/>
    <w:rsid w:val="00C36892"/>
    <w:rsid w:val="00C36CAF"/>
    <w:rsid w:val="00C37560"/>
    <w:rsid w:val="00C4050D"/>
    <w:rsid w:val="00C40800"/>
    <w:rsid w:val="00C40B18"/>
    <w:rsid w:val="00C40DA1"/>
    <w:rsid w:val="00C4149C"/>
    <w:rsid w:val="00C4172B"/>
    <w:rsid w:val="00C41E52"/>
    <w:rsid w:val="00C41E62"/>
    <w:rsid w:val="00C421F9"/>
    <w:rsid w:val="00C427F1"/>
    <w:rsid w:val="00C42A09"/>
    <w:rsid w:val="00C432A4"/>
    <w:rsid w:val="00C43989"/>
    <w:rsid w:val="00C45165"/>
    <w:rsid w:val="00C456FF"/>
    <w:rsid w:val="00C459D2"/>
    <w:rsid w:val="00C460DA"/>
    <w:rsid w:val="00C46358"/>
    <w:rsid w:val="00C5122A"/>
    <w:rsid w:val="00C5181D"/>
    <w:rsid w:val="00C52797"/>
    <w:rsid w:val="00C53B2F"/>
    <w:rsid w:val="00C54774"/>
    <w:rsid w:val="00C5582E"/>
    <w:rsid w:val="00C55965"/>
    <w:rsid w:val="00C55ED5"/>
    <w:rsid w:val="00C55F41"/>
    <w:rsid w:val="00C562F9"/>
    <w:rsid w:val="00C563DF"/>
    <w:rsid w:val="00C569D6"/>
    <w:rsid w:val="00C571F0"/>
    <w:rsid w:val="00C574E2"/>
    <w:rsid w:val="00C57CA1"/>
    <w:rsid w:val="00C57EC2"/>
    <w:rsid w:val="00C60C46"/>
    <w:rsid w:val="00C617A1"/>
    <w:rsid w:val="00C62613"/>
    <w:rsid w:val="00C628D1"/>
    <w:rsid w:val="00C62BC2"/>
    <w:rsid w:val="00C64CB5"/>
    <w:rsid w:val="00C64D1E"/>
    <w:rsid w:val="00C65488"/>
    <w:rsid w:val="00C670D4"/>
    <w:rsid w:val="00C70197"/>
    <w:rsid w:val="00C70313"/>
    <w:rsid w:val="00C705F4"/>
    <w:rsid w:val="00C723A7"/>
    <w:rsid w:val="00C72CB1"/>
    <w:rsid w:val="00C72E51"/>
    <w:rsid w:val="00C73029"/>
    <w:rsid w:val="00C74CE3"/>
    <w:rsid w:val="00C7651D"/>
    <w:rsid w:val="00C76AB1"/>
    <w:rsid w:val="00C76CC5"/>
    <w:rsid w:val="00C7709B"/>
    <w:rsid w:val="00C77C0D"/>
    <w:rsid w:val="00C77EA1"/>
    <w:rsid w:val="00C8162A"/>
    <w:rsid w:val="00C81C7E"/>
    <w:rsid w:val="00C82A4E"/>
    <w:rsid w:val="00C82AE0"/>
    <w:rsid w:val="00C82E2B"/>
    <w:rsid w:val="00C82E63"/>
    <w:rsid w:val="00C82F8F"/>
    <w:rsid w:val="00C8321E"/>
    <w:rsid w:val="00C83C9E"/>
    <w:rsid w:val="00C841B7"/>
    <w:rsid w:val="00C84393"/>
    <w:rsid w:val="00C850D7"/>
    <w:rsid w:val="00C85280"/>
    <w:rsid w:val="00C8528F"/>
    <w:rsid w:val="00C85CD7"/>
    <w:rsid w:val="00C85E3B"/>
    <w:rsid w:val="00C860CD"/>
    <w:rsid w:val="00C86406"/>
    <w:rsid w:val="00C91A3F"/>
    <w:rsid w:val="00C92073"/>
    <w:rsid w:val="00C931D3"/>
    <w:rsid w:val="00C93B1C"/>
    <w:rsid w:val="00C947BC"/>
    <w:rsid w:val="00C96B1D"/>
    <w:rsid w:val="00CA098C"/>
    <w:rsid w:val="00CA201B"/>
    <w:rsid w:val="00CA26E6"/>
    <w:rsid w:val="00CA27B7"/>
    <w:rsid w:val="00CA2EFB"/>
    <w:rsid w:val="00CA30F2"/>
    <w:rsid w:val="00CA313C"/>
    <w:rsid w:val="00CA3A54"/>
    <w:rsid w:val="00CA3BDE"/>
    <w:rsid w:val="00CA4E01"/>
    <w:rsid w:val="00CA5939"/>
    <w:rsid w:val="00CA61CF"/>
    <w:rsid w:val="00CA68C8"/>
    <w:rsid w:val="00CA6D57"/>
    <w:rsid w:val="00CA711A"/>
    <w:rsid w:val="00CA7AFD"/>
    <w:rsid w:val="00CB07E1"/>
    <w:rsid w:val="00CB21D6"/>
    <w:rsid w:val="00CB2C53"/>
    <w:rsid w:val="00CB413A"/>
    <w:rsid w:val="00CB4EE0"/>
    <w:rsid w:val="00CB5537"/>
    <w:rsid w:val="00CB58A6"/>
    <w:rsid w:val="00CB6449"/>
    <w:rsid w:val="00CB6897"/>
    <w:rsid w:val="00CB68DA"/>
    <w:rsid w:val="00CB6B63"/>
    <w:rsid w:val="00CB7162"/>
    <w:rsid w:val="00CB7F00"/>
    <w:rsid w:val="00CC0195"/>
    <w:rsid w:val="00CC0951"/>
    <w:rsid w:val="00CC0DDF"/>
    <w:rsid w:val="00CC10C6"/>
    <w:rsid w:val="00CC1418"/>
    <w:rsid w:val="00CC1B69"/>
    <w:rsid w:val="00CC1E8E"/>
    <w:rsid w:val="00CC397E"/>
    <w:rsid w:val="00CC3B2F"/>
    <w:rsid w:val="00CC435D"/>
    <w:rsid w:val="00CC4CB3"/>
    <w:rsid w:val="00CC4CEF"/>
    <w:rsid w:val="00CC530D"/>
    <w:rsid w:val="00CD1149"/>
    <w:rsid w:val="00CD1D1A"/>
    <w:rsid w:val="00CD21E4"/>
    <w:rsid w:val="00CD2646"/>
    <w:rsid w:val="00CD2E6B"/>
    <w:rsid w:val="00CD3230"/>
    <w:rsid w:val="00CD34C1"/>
    <w:rsid w:val="00CD3529"/>
    <w:rsid w:val="00CD4E26"/>
    <w:rsid w:val="00CD5E60"/>
    <w:rsid w:val="00CD6CEA"/>
    <w:rsid w:val="00CD70F0"/>
    <w:rsid w:val="00CD7BD2"/>
    <w:rsid w:val="00CD7ECD"/>
    <w:rsid w:val="00CE015D"/>
    <w:rsid w:val="00CE0449"/>
    <w:rsid w:val="00CE04C1"/>
    <w:rsid w:val="00CE1B15"/>
    <w:rsid w:val="00CE1B91"/>
    <w:rsid w:val="00CE3491"/>
    <w:rsid w:val="00CE51D4"/>
    <w:rsid w:val="00CE5D66"/>
    <w:rsid w:val="00CE7001"/>
    <w:rsid w:val="00CE7704"/>
    <w:rsid w:val="00CE7E93"/>
    <w:rsid w:val="00CF049C"/>
    <w:rsid w:val="00CF06F5"/>
    <w:rsid w:val="00CF25BE"/>
    <w:rsid w:val="00CF2DAA"/>
    <w:rsid w:val="00CF3EC3"/>
    <w:rsid w:val="00CF4958"/>
    <w:rsid w:val="00CF4C7D"/>
    <w:rsid w:val="00CF6E7E"/>
    <w:rsid w:val="00CF7E5B"/>
    <w:rsid w:val="00D00325"/>
    <w:rsid w:val="00D01223"/>
    <w:rsid w:val="00D01428"/>
    <w:rsid w:val="00D01D17"/>
    <w:rsid w:val="00D0204A"/>
    <w:rsid w:val="00D020BE"/>
    <w:rsid w:val="00D02452"/>
    <w:rsid w:val="00D03832"/>
    <w:rsid w:val="00D04A50"/>
    <w:rsid w:val="00D04BF9"/>
    <w:rsid w:val="00D05B3C"/>
    <w:rsid w:val="00D05D08"/>
    <w:rsid w:val="00D067BD"/>
    <w:rsid w:val="00D069A0"/>
    <w:rsid w:val="00D06ABF"/>
    <w:rsid w:val="00D070DF"/>
    <w:rsid w:val="00D10137"/>
    <w:rsid w:val="00D10C97"/>
    <w:rsid w:val="00D10E9E"/>
    <w:rsid w:val="00D115AE"/>
    <w:rsid w:val="00D14232"/>
    <w:rsid w:val="00D145C8"/>
    <w:rsid w:val="00D16138"/>
    <w:rsid w:val="00D1699C"/>
    <w:rsid w:val="00D16DE1"/>
    <w:rsid w:val="00D170FC"/>
    <w:rsid w:val="00D20272"/>
    <w:rsid w:val="00D20724"/>
    <w:rsid w:val="00D22310"/>
    <w:rsid w:val="00D22429"/>
    <w:rsid w:val="00D22C4C"/>
    <w:rsid w:val="00D232B2"/>
    <w:rsid w:val="00D23B37"/>
    <w:rsid w:val="00D24568"/>
    <w:rsid w:val="00D24895"/>
    <w:rsid w:val="00D24963"/>
    <w:rsid w:val="00D24B1E"/>
    <w:rsid w:val="00D25E46"/>
    <w:rsid w:val="00D2616E"/>
    <w:rsid w:val="00D268E4"/>
    <w:rsid w:val="00D269B6"/>
    <w:rsid w:val="00D26DBC"/>
    <w:rsid w:val="00D26F66"/>
    <w:rsid w:val="00D27667"/>
    <w:rsid w:val="00D30B0E"/>
    <w:rsid w:val="00D31B44"/>
    <w:rsid w:val="00D3222B"/>
    <w:rsid w:val="00D325EF"/>
    <w:rsid w:val="00D32B21"/>
    <w:rsid w:val="00D34CC8"/>
    <w:rsid w:val="00D34F7F"/>
    <w:rsid w:val="00D358B2"/>
    <w:rsid w:val="00D379F6"/>
    <w:rsid w:val="00D37C3C"/>
    <w:rsid w:val="00D37F74"/>
    <w:rsid w:val="00D4016A"/>
    <w:rsid w:val="00D402B9"/>
    <w:rsid w:val="00D415A7"/>
    <w:rsid w:val="00D41702"/>
    <w:rsid w:val="00D436C5"/>
    <w:rsid w:val="00D43C91"/>
    <w:rsid w:val="00D43D37"/>
    <w:rsid w:val="00D43E78"/>
    <w:rsid w:val="00D444DD"/>
    <w:rsid w:val="00D46943"/>
    <w:rsid w:val="00D476DD"/>
    <w:rsid w:val="00D47D28"/>
    <w:rsid w:val="00D47F7B"/>
    <w:rsid w:val="00D51847"/>
    <w:rsid w:val="00D52CE1"/>
    <w:rsid w:val="00D53592"/>
    <w:rsid w:val="00D5360D"/>
    <w:rsid w:val="00D5363D"/>
    <w:rsid w:val="00D53852"/>
    <w:rsid w:val="00D538FD"/>
    <w:rsid w:val="00D53ACC"/>
    <w:rsid w:val="00D541D3"/>
    <w:rsid w:val="00D54498"/>
    <w:rsid w:val="00D547DD"/>
    <w:rsid w:val="00D54EBC"/>
    <w:rsid w:val="00D55C23"/>
    <w:rsid w:val="00D55F16"/>
    <w:rsid w:val="00D563F4"/>
    <w:rsid w:val="00D5782B"/>
    <w:rsid w:val="00D57C48"/>
    <w:rsid w:val="00D57D65"/>
    <w:rsid w:val="00D57FEA"/>
    <w:rsid w:val="00D603B5"/>
    <w:rsid w:val="00D613F8"/>
    <w:rsid w:val="00D651FC"/>
    <w:rsid w:val="00D65B79"/>
    <w:rsid w:val="00D65F5B"/>
    <w:rsid w:val="00D66890"/>
    <w:rsid w:val="00D668E6"/>
    <w:rsid w:val="00D67668"/>
    <w:rsid w:val="00D6775E"/>
    <w:rsid w:val="00D70DE7"/>
    <w:rsid w:val="00D7216B"/>
    <w:rsid w:val="00D72747"/>
    <w:rsid w:val="00D7392E"/>
    <w:rsid w:val="00D7418B"/>
    <w:rsid w:val="00D74344"/>
    <w:rsid w:val="00D74AA7"/>
    <w:rsid w:val="00D74B12"/>
    <w:rsid w:val="00D74D25"/>
    <w:rsid w:val="00D75653"/>
    <w:rsid w:val="00D76059"/>
    <w:rsid w:val="00D779D3"/>
    <w:rsid w:val="00D80670"/>
    <w:rsid w:val="00D813A5"/>
    <w:rsid w:val="00D8232F"/>
    <w:rsid w:val="00D82769"/>
    <w:rsid w:val="00D833DF"/>
    <w:rsid w:val="00D838EE"/>
    <w:rsid w:val="00D840CE"/>
    <w:rsid w:val="00D8610C"/>
    <w:rsid w:val="00D863EE"/>
    <w:rsid w:val="00D86F07"/>
    <w:rsid w:val="00D87DCC"/>
    <w:rsid w:val="00D9095C"/>
    <w:rsid w:val="00D91F14"/>
    <w:rsid w:val="00D9250A"/>
    <w:rsid w:val="00D92F81"/>
    <w:rsid w:val="00D94180"/>
    <w:rsid w:val="00D949D5"/>
    <w:rsid w:val="00D9543C"/>
    <w:rsid w:val="00D95BC2"/>
    <w:rsid w:val="00D95C10"/>
    <w:rsid w:val="00D9609F"/>
    <w:rsid w:val="00D96E14"/>
    <w:rsid w:val="00D97B16"/>
    <w:rsid w:val="00D97FC5"/>
    <w:rsid w:val="00DA009C"/>
    <w:rsid w:val="00DA0E3B"/>
    <w:rsid w:val="00DA1EA6"/>
    <w:rsid w:val="00DA314C"/>
    <w:rsid w:val="00DA415E"/>
    <w:rsid w:val="00DA498E"/>
    <w:rsid w:val="00DA4E9D"/>
    <w:rsid w:val="00DA4EEC"/>
    <w:rsid w:val="00DA5516"/>
    <w:rsid w:val="00DA67D6"/>
    <w:rsid w:val="00DA7182"/>
    <w:rsid w:val="00DB08A0"/>
    <w:rsid w:val="00DB2087"/>
    <w:rsid w:val="00DB212A"/>
    <w:rsid w:val="00DB48D4"/>
    <w:rsid w:val="00DB4FB2"/>
    <w:rsid w:val="00DB5462"/>
    <w:rsid w:val="00DB6270"/>
    <w:rsid w:val="00DB68BE"/>
    <w:rsid w:val="00DB72D4"/>
    <w:rsid w:val="00DC0D51"/>
    <w:rsid w:val="00DC18E7"/>
    <w:rsid w:val="00DC1BE7"/>
    <w:rsid w:val="00DC2225"/>
    <w:rsid w:val="00DC2573"/>
    <w:rsid w:val="00DC374B"/>
    <w:rsid w:val="00DC39B6"/>
    <w:rsid w:val="00DC55D7"/>
    <w:rsid w:val="00DC5724"/>
    <w:rsid w:val="00DC7BF0"/>
    <w:rsid w:val="00DC7C7C"/>
    <w:rsid w:val="00DD0267"/>
    <w:rsid w:val="00DD0D5B"/>
    <w:rsid w:val="00DD0E3D"/>
    <w:rsid w:val="00DD10F8"/>
    <w:rsid w:val="00DD1492"/>
    <w:rsid w:val="00DD16D7"/>
    <w:rsid w:val="00DD3C53"/>
    <w:rsid w:val="00DD52D5"/>
    <w:rsid w:val="00DD5409"/>
    <w:rsid w:val="00DD55D0"/>
    <w:rsid w:val="00DD5D23"/>
    <w:rsid w:val="00DD691E"/>
    <w:rsid w:val="00DD6DC9"/>
    <w:rsid w:val="00DD6FFD"/>
    <w:rsid w:val="00DD70EF"/>
    <w:rsid w:val="00DD7CEA"/>
    <w:rsid w:val="00DE051B"/>
    <w:rsid w:val="00DE0DF1"/>
    <w:rsid w:val="00DE13D0"/>
    <w:rsid w:val="00DE1647"/>
    <w:rsid w:val="00DE223E"/>
    <w:rsid w:val="00DE25B9"/>
    <w:rsid w:val="00DE2686"/>
    <w:rsid w:val="00DE34FE"/>
    <w:rsid w:val="00DE3690"/>
    <w:rsid w:val="00DE4055"/>
    <w:rsid w:val="00DE4C86"/>
    <w:rsid w:val="00DE606B"/>
    <w:rsid w:val="00DE62EA"/>
    <w:rsid w:val="00DE63ED"/>
    <w:rsid w:val="00DE6542"/>
    <w:rsid w:val="00DE6BB0"/>
    <w:rsid w:val="00DE7657"/>
    <w:rsid w:val="00DE7772"/>
    <w:rsid w:val="00DF009E"/>
    <w:rsid w:val="00DF0FB6"/>
    <w:rsid w:val="00DF13C6"/>
    <w:rsid w:val="00DF1478"/>
    <w:rsid w:val="00DF19E0"/>
    <w:rsid w:val="00DF1E47"/>
    <w:rsid w:val="00DF323B"/>
    <w:rsid w:val="00DF3D89"/>
    <w:rsid w:val="00DF46D7"/>
    <w:rsid w:val="00DF4A79"/>
    <w:rsid w:val="00DF4F4A"/>
    <w:rsid w:val="00DF52A8"/>
    <w:rsid w:val="00DF5FD8"/>
    <w:rsid w:val="00DF6414"/>
    <w:rsid w:val="00DF66CE"/>
    <w:rsid w:val="00DF6C90"/>
    <w:rsid w:val="00DF7E54"/>
    <w:rsid w:val="00DF7F42"/>
    <w:rsid w:val="00E00867"/>
    <w:rsid w:val="00E01138"/>
    <w:rsid w:val="00E017EA"/>
    <w:rsid w:val="00E02350"/>
    <w:rsid w:val="00E02751"/>
    <w:rsid w:val="00E03078"/>
    <w:rsid w:val="00E032A6"/>
    <w:rsid w:val="00E03535"/>
    <w:rsid w:val="00E03BA5"/>
    <w:rsid w:val="00E0440A"/>
    <w:rsid w:val="00E0471C"/>
    <w:rsid w:val="00E04860"/>
    <w:rsid w:val="00E06276"/>
    <w:rsid w:val="00E070B4"/>
    <w:rsid w:val="00E07CF3"/>
    <w:rsid w:val="00E07F35"/>
    <w:rsid w:val="00E1040E"/>
    <w:rsid w:val="00E10923"/>
    <w:rsid w:val="00E10E44"/>
    <w:rsid w:val="00E11AF9"/>
    <w:rsid w:val="00E11C28"/>
    <w:rsid w:val="00E11E57"/>
    <w:rsid w:val="00E11F9D"/>
    <w:rsid w:val="00E12983"/>
    <w:rsid w:val="00E12C89"/>
    <w:rsid w:val="00E12FB6"/>
    <w:rsid w:val="00E13D3A"/>
    <w:rsid w:val="00E142E4"/>
    <w:rsid w:val="00E1452F"/>
    <w:rsid w:val="00E15191"/>
    <w:rsid w:val="00E153B9"/>
    <w:rsid w:val="00E15ACA"/>
    <w:rsid w:val="00E16086"/>
    <w:rsid w:val="00E16478"/>
    <w:rsid w:val="00E1666A"/>
    <w:rsid w:val="00E17016"/>
    <w:rsid w:val="00E2080C"/>
    <w:rsid w:val="00E20D0D"/>
    <w:rsid w:val="00E20E37"/>
    <w:rsid w:val="00E211C0"/>
    <w:rsid w:val="00E217B2"/>
    <w:rsid w:val="00E2193C"/>
    <w:rsid w:val="00E21A56"/>
    <w:rsid w:val="00E221F7"/>
    <w:rsid w:val="00E22C09"/>
    <w:rsid w:val="00E237D4"/>
    <w:rsid w:val="00E24238"/>
    <w:rsid w:val="00E245AC"/>
    <w:rsid w:val="00E25A75"/>
    <w:rsid w:val="00E25CD2"/>
    <w:rsid w:val="00E26F63"/>
    <w:rsid w:val="00E27530"/>
    <w:rsid w:val="00E276FA"/>
    <w:rsid w:val="00E30C7C"/>
    <w:rsid w:val="00E32143"/>
    <w:rsid w:val="00E33051"/>
    <w:rsid w:val="00E33112"/>
    <w:rsid w:val="00E354DA"/>
    <w:rsid w:val="00E36292"/>
    <w:rsid w:val="00E4049D"/>
    <w:rsid w:val="00E40A85"/>
    <w:rsid w:val="00E40E65"/>
    <w:rsid w:val="00E41032"/>
    <w:rsid w:val="00E41636"/>
    <w:rsid w:val="00E43829"/>
    <w:rsid w:val="00E43A3A"/>
    <w:rsid w:val="00E43DFA"/>
    <w:rsid w:val="00E448B2"/>
    <w:rsid w:val="00E44DEB"/>
    <w:rsid w:val="00E4535E"/>
    <w:rsid w:val="00E45D4B"/>
    <w:rsid w:val="00E46245"/>
    <w:rsid w:val="00E472D3"/>
    <w:rsid w:val="00E476C5"/>
    <w:rsid w:val="00E4798E"/>
    <w:rsid w:val="00E47B01"/>
    <w:rsid w:val="00E503D6"/>
    <w:rsid w:val="00E51910"/>
    <w:rsid w:val="00E52234"/>
    <w:rsid w:val="00E525D3"/>
    <w:rsid w:val="00E525E9"/>
    <w:rsid w:val="00E52AFA"/>
    <w:rsid w:val="00E53485"/>
    <w:rsid w:val="00E5356B"/>
    <w:rsid w:val="00E5392F"/>
    <w:rsid w:val="00E54261"/>
    <w:rsid w:val="00E55316"/>
    <w:rsid w:val="00E557E1"/>
    <w:rsid w:val="00E5595A"/>
    <w:rsid w:val="00E572D5"/>
    <w:rsid w:val="00E57B87"/>
    <w:rsid w:val="00E57F49"/>
    <w:rsid w:val="00E61CCF"/>
    <w:rsid w:val="00E6233B"/>
    <w:rsid w:val="00E62854"/>
    <w:rsid w:val="00E62EC1"/>
    <w:rsid w:val="00E63323"/>
    <w:rsid w:val="00E646C4"/>
    <w:rsid w:val="00E6548C"/>
    <w:rsid w:val="00E65D32"/>
    <w:rsid w:val="00E66936"/>
    <w:rsid w:val="00E670C8"/>
    <w:rsid w:val="00E67828"/>
    <w:rsid w:val="00E67A40"/>
    <w:rsid w:val="00E67E5E"/>
    <w:rsid w:val="00E71617"/>
    <w:rsid w:val="00E72529"/>
    <w:rsid w:val="00E72EF2"/>
    <w:rsid w:val="00E73869"/>
    <w:rsid w:val="00E73E90"/>
    <w:rsid w:val="00E7403B"/>
    <w:rsid w:val="00E74BE9"/>
    <w:rsid w:val="00E751D7"/>
    <w:rsid w:val="00E7566B"/>
    <w:rsid w:val="00E75960"/>
    <w:rsid w:val="00E7625B"/>
    <w:rsid w:val="00E76A39"/>
    <w:rsid w:val="00E775C1"/>
    <w:rsid w:val="00E77BA4"/>
    <w:rsid w:val="00E801A2"/>
    <w:rsid w:val="00E80897"/>
    <w:rsid w:val="00E80C09"/>
    <w:rsid w:val="00E81191"/>
    <w:rsid w:val="00E818AB"/>
    <w:rsid w:val="00E81FDA"/>
    <w:rsid w:val="00E82151"/>
    <w:rsid w:val="00E83ED6"/>
    <w:rsid w:val="00E84D58"/>
    <w:rsid w:val="00E85041"/>
    <w:rsid w:val="00E85080"/>
    <w:rsid w:val="00E854E0"/>
    <w:rsid w:val="00E85E02"/>
    <w:rsid w:val="00E86572"/>
    <w:rsid w:val="00E86CD1"/>
    <w:rsid w:val="00E90CFD"/>
    <w:rsid w:val="00E913A9"/>
    <w:rsid w:val="00E91C6A"/>
    <w:rsid w:val="00E91C86"/>
    <w:rsid w:val="00E928B5"/>
    <w:rsid w:val="00E92A75"/>
    <w:rsid w:val="00E92AC4"/>
    <w:rsid w:val="00E93455"/>
    <w:rsid w:val="00E94C76"/>
    <w:rsid w:val="00E96342"/>
    <w:rsid w:val="00E966A2"/>
    <w:rsid w:val="00E96CA8"/>
    <w:rsid w:val="00E9749C"/>
    <w:rsid w:val="00EA02C3"/>
    <w:rsid w:val="00EA059A"/>
    <w:rsid w:val="00EA08AC"/>
    <w:rsid w:val="00EA08C2"/>
    <w:rsid w:val="00EA1417"/>
    <w:rsid w:val="00EA215B"/>
    <w:rsid w:val="00EA30B1"/>
    <w:rsid w:val="00EA31F7"/>
    <w:rsid w:val="00EA330E"/>
    <w:rsid w:val="00EA4505"/>
    <w:rsid w:val="00EA4541"/>
    <w:rsid w:val="00EA47E9"/>
    <w:rsid w:val="00EA4A06"/>
    <w:rsid w:val="00EA4C72"/>
    <w:rsid w:val="00EA5FE6"/>
    <w:rsid w:val="00EA6332"/>
    <w:rsid w:val="00EA65BA"/>
    <w:rsid w:val="00EA7FB4"/>
    <w:rsid w:val="00EB1CC0"/>
    <w:rsid w:val="00EB222F"/>
    <w:rsid w:val="00EB4F20"/>
    <w:rsid w:val="00EB5592"/>
    <w:rsid w:val="00EB631A"/>
    <w:rsid w:val="00EB789B"/>
    <w:rsid w:val="00EB7DE9"/>
    <w:rsid w:val="00EC139B"/>
    <w:rsid w:val="00EC21C2"/>
    <w:rsid w:val="00EC2BB4"/>
    <w:rsid w:val="00EC391D"/>
    <w:rsid w:val="00EC3A81"/>
    <w:rsid w:val="00EC5BBB"/>
    <w:rsid w:val="00EC618C"/>
    <w:rsid w:val="00EC6E46"/>
    <w:rsid w:val="00ED0658"/>
    <w:rsid w:val="00ED22CF"/>
    <w:rsid w:val="00ED23DD"/>
    <w:rsid w:val="00ED41CC"/>
    <w:rsid w:val="00ED45A7"/>
    <w:rsid w:val="00ED4E36"/>
    <w:rsid w:val="00ED4F9F"/>
    <w:rsid w:val="00ED51DA"/>
    <w:rsid w:val="00ED5830"/>
    <w:rsid w:val="00ED5C04"/>
    <w:rsid w:val="00ED65BB"/>
    <w:rsid w:val="00ED663A"/>
    <w:rsid w:val="00ED6A25"/>
    <w:rsid w:val="00ED6E34"/>
    <w:rsid w:val="00ED7875"/>
    <w:rsid w:val="00EE04E3"/>
    <w:rsid w:val="00EE08A4"/>
    <w:rsid w:val="00EE122F"/>
    <w:rsid w:val="00EE2587"/>
    <w:rsid w:val="00EE3141"/>
    <w:rsid w:val="00EE3813"/>
    <w:rsid w:val="00EE3DD0"/>
    <w:rsid w:val="00EE4202"/>
    <w:rsid w:val="00EE4A41"/>
    <w:rsid w:val="00EE4D43"/>
    <w:rsid w:val="00EE4FBA"/>
    <w:rsid w:val="00EE537F"/>
    <w:rsid w:val="00EE57A1"/>
    <w:rsid w:val="00EE5AB7"/>
    <w:rsid w:val="00EE5D02"/>
    <w:rsid w:val="00EE5E4A"/>
    <w:rsid w:val="00EE656D"/>
    <w:rsid w:val="00EE75C7"/>
    <w:rsid w:val="00EE79B8"/>
    <w:rsid w:val="00EF0488"/>
    <w:rsid w:val="00EF2193"/>
    <w:rsid w:val="00EF37FA"/>
    <w:rsid w:val="00EF4333"/>
    <w:rsid w:val="00EF4336"/>
    <w:rsid w:val="00EF59B4"/>
    <w:rsid w:val="00EF5C90"/>
    <w:rsid w:val="00EF6C3F"/>
    <w:rsid w:val="00EF6D1B"/>
    <w:rsid w:val="00EF7843"/>
    <w:rsid w:val="00F009D2"/>
    <w:rsid w:val="00F01134"/>
    <w:rsid w:val="00F012E4"/>
    <w:rsid w:val="00F0132C"/>
    <w:rsid w:val="00F01B57"/>
    <w:rsid w:val="00F0208C"/>
    <w:rsid w:val="00F03011"/>
    <w:rsid w:val="00F036CE"/>
    <w:rsid w:val="00F03C5B"/>
    <w:rsid w:val="00F044BF"/>
    <w:rsid w:val="00F046DA"/>
    <w:rsid w:val="00F04889"/>
    <w:rsid w:val="00F048B7"/>
    <w:rsid w:val="00F056F4"/>
    <w:rsid w:val="00F06474"/>
    <w:rsid w:val="00F07379"/>
    <w:rsid w:val="00F0770B"/>
    <w:rsid w:val="00F10414"/>
    <w:rsid w:val="00F11775"/>
    <w:rsid w:val="00F117E3"/>
    <w:rsid w:val="00F119FF"/>
    <w:rsid w:val="00F11BBC"/>
    <w:rsid w:val="00F11CFA"/>
    <w:rsid w:val="00F12158"/>
    <w:rsid w:val="00F12580"/>
    <w:rsid w:val="00F129A6"/>
    <w:rsid w:val="00F12C30"/>
    <w:rsid w:val="00F12ED6"/>
    <w:rsid w:val="00F13B14"/>
    <w:rsid w:val="00F14909"/>
    <w:rsid w:val="00F14E9A"/>
    <w:rsid w:val="00F1501F"/>
    <w:rsid w:val="00F1507F"/>
    <w:rsid w:val="00F15162"/>
    <w:rsid w:val="00F15D4F"/>
    <w:rsid w:val="00F16161"/>
    <w:rsid w:val="00F16463"/>
    <w:rsid w:val="00F1778C"/>
    <w:rsid w:val="00F1782B"/>
    <w:rsid w:val="00F17CED"/>
    <w:rsid w:val="00F203E9"/>
    <w:rsid w:val="00F21236"/>
    <w:rsid w:val="00F212F2"/>
    <w:rsid w:val="00F21774"/>
    <w:rsid w:val="00F22CB5"/>
    <w:rsid w:val="00F23426"/>
    <w:rsid w:val="00F23F57"/>
    <w:rsid w:val="00F26542"/>
    <w:rsid w:val="00F26685"/>
    <w:rsid w:val="00F2774B"/>
    <w:rsid w:val="00F30415"/>
    <w:rsid w:val="00F31908"/>
    <w:rsid w:val="00F31B5F"/>
    <w:rsid w:val="00F31B88"/>
    <w:rsid w:val="00F324B4"/>
    <w:rsid w:val="00F326E7"/>
    <w:rsid w:val="00F33D23"/>
    <w:rsid w:val="00F34BE8"/>
    <w:rsid w:val="00F34FBD"/>
    <w:rsid w:val="00F3545A"/>
    <w:rsid w:val="00F35EDF"/>
    <w:rsid w:val="00F36804"/>
    <w:rsid w:val="00F3766A"/>
    <w:rsid w:val="00F37749"/>
    <w:rsid w:val="00F4023B"/>
    <w:rsid w:val="00F40298"/>
    <w:rsid w:val="00F40859"/>
    <w:rsid w:val="00F40BEB"/>
    <w:rsid w:val="00F419FB"/>
    <w:rsid w:val="00F42415"/>
    <w:rsid w:val="00F4250E"/>
    <w:rsid w:val="00F430C4"/>
    <w:rsid w:val="00F4373F"/>
    <w:rsid w:val="00F4395E"/>
    <w:rsid w:val="00F4402D"/>
    <w:rsid w:val="00F44F69"/>
    <w:rsid w:val="00F4518B"/>
    <w:rsid w:val="00F45E73"/>
    <w:rsid w:val="00F46905"/>
    <w:rsid w:val="00F47A0A"/>
    <w:rsid w:val="00F5042E"/>
    <w:rsid w:val="00F50730"/>
    <w:rsid w:val="00F51EC3"/>
    <w:rsid w:val="00F5205A"/>
    <w:rsid w:val="00F52E1B"/>
    <w:rsid w:val="00F530DF"/>
    <w:rsid w:val="00F53324"/>
    <w:rsid w:val="00F538AB"/>
    <w:rsid w:val="00F559E2"/>
    <w:rsid w:val="00F56106"/>
    <w:rsid w:val="00F56AEA"/>
    <w:rsid w:val="00F56CEF"/>
    <w:rsid w:val="00F57328"/>
    <w:rsid w:val="00F6177E"/>
    <w:rsid w:val="00F61EC1"/>
    <w:rsid w:val="00F62165"/>
    <w:rsid w:val="00F6317C"/>
    <w:rsid w:val="00F6338B"/>
    <w:rsid w:val="00F63AC1"/>
    <w:rsid w:val="00F64754"/>
    <w:rsid w:val="00F64B50"/>
    <w:rsid w:val="00F64D69"/>
    <w:rsid w:val="00F64F99"/>
    <w:rsid w:val="00F65224"/>
    <w:rsid w:val="00F67C46"/>
    <w:rsid w:val="00F70D29"/>
    <w:rsid w:val="00F70E07"/>
    <w:rsid w:val="00F71487"/>
    <w:rsid w:val="00F71E96"/>
    <w:rsid w:val="00F72010"/>
    <w:rsid w:val="00F72F4D"/>
    <w:rsid w:val="00F730B7"/>
    <w:rsid w:val="00F73329"/>
    <w:rsid w:val="00F73EE9"/>
    <w:rsid w:val="00F74038"/>
    <w:rsid w:val="00F7449C"/>
    <w:rsid w:val="00F76306"/>
    <w:rsid w:val="00F764B7"/>
    <w:rsid w:val="00F77578"/>
    <w:rsid w:val="00F80C3E"/>
    <w:rsid w:val="00F812A9"/>
    <w:rsid w:val="00F8172F"/>
    <w:rsid w:val="00F83D0A"/>
    <w:rsid w:val="00F8440D"/>
    <w:rsid w:val="00F8490F"/>
    <w:rsid w:val="00F85401"/>
    <w:rsid w:val="00F85AEB"/>
    <w:rsid w:val="00F85C9B"/>
    <w:rsid w:val="00F85FD6"/>
    <w:rsid w:val="00F868A3"/>
    <w:rsid w:val="00F902E6"/>
    <w:rsid w:val="00F913FB"/>
    <w:rsid w:val="00F91695"/>
    <w:rsid w:val="00F917A4"/>
    <w:rsid w:val="00F923CF"/>
    <w:rsid w:val="00F92853"/>
    <w:rsid w:val="00F9287A"/>
    <w:rsid w:val="00F92AD2"/>
    <w:rsid w:val="00F92DBE"/>
    <w:rsid w:val="00F93761"/>
    <w:rsid w:val="00F93ED4"/>
    <w:rsid w:val="00F93F48"/>
    <w:rsid w:val="00F945C0"/>
    <w:rsid w:val="00F9485D"/>
    <w:rsid w:val="00F95216"/>
    <w:rsid w:val="00F95B31"/>
    <w:rsid w:val="00F9624F"/>
    <w:rsid w:val="00F96D00"/>
    <w:rsid w:val="00F96D50"/>
    <w:rsid w:val="00FA0436"/>
    <w:rsid w:val="00FA12CA"/>
    <w:rsid w:val="00FA196A"/>
    <w:rsid w:val="00FA22AA"/>
    <w:rsid w:val="00FA23B1"/>
    <w:rsid w:val="00FA2E1D"/>
    <w:rsid w:val="00FA2E59"/>
    <w:rsid w:val="00FA3023"/>
    <w:rsid w:val="00FA314C"/>
    <w:rsid w:val="00FA464C"/>
    <w:rsid w:val="00FA46DF"/>
    <w:rsid w:val="00FA47A4"/>
    <w:rsid w:val="00FA48DE"/>
    <w:rsid w:val="00FA5221"/>
    <w:rsid w:val="00FA5F90"/>
    <w:rsid w:val="00FA6674"/>
    <w:rsid w:val="00FA6D83"/>
    <w:rsid w:val="00FA708D"/>
    <w:rsid w:val="00FA71E2"/>
    <w:rsid w:val="00FB03EE"/>
    <w:rsid w:val="00FB17D2"/>
    <w:rsid w:val="00FB31C8"/>
    <w:rsid w:val="00FB34B3"/>
    <w:rsid w:val="00FB3632"/>
    <w:rsid w:val="00FB4850"/>
    <w:rsid w:val="00FB4B3D"/>
    <w:rsid w:val="00FB5087"/>
    <w:rsid w:val="00FB55A0"/>
    <w:rsid w:val="00FB77D9"/>
    <w:rsid w:val="00FB7EBF"/>
    <w:rsid w:val="00FC37BF"/>
    <w:rsid w:val="00FC39A8"/>
    <w:rsid w:val="00FC4855"/>
    <w:rsid w:val="00FC4CE6"/>
    <w:rsid w:val="00FC531F"/>
    <w:rsid w:val="00FC5DD8"/>
    <w:rsid w:val="00FC778C"/>
    <w:rsid w:val="00FD0B57"/>
    <w:rsid w:val="00FD1EA1"/>
    <w:rsid w:val="00FD24D2"/>
    <w:rsid w:val="00FD41B3"/>
    <w:rsid w:val="00FD45FC"/>
    <w:rsid w:val="00FD463D"/>
    <w:rsid w:val="00FD4A7C"/>
    <w:rsid w:val="00FD4D71"/>
    <w:rsid w:val="00FD4E6F"/>
    <w:rsid w:val="00FD58C1"/>
    <w:rsid w:val="00FE013F"/>
    <w:rsid w:val="00FE150C"/>
    <w:rsid w:val="00FE1E97"/>
    <w:rsid w:val="00FE2234"/>
    <w:rsid w:val="00FE28D6"/>
    <w:rsid w:val="00FE54CB"/>
    <w:rsid w:val="00FE699B"/>
    <w:rsid w:val="00FE6DE8"/>
    <w:rsid w:val="00FE6F36"/>
    <w:rsid w:val="00FE7780"/>
    <w:rsid w:val="00FE7A1F"/>
    <w:rsid w:val="00FF065A"/>
    <w:rsid w:val="00FF0D8A"/>
    <w:rsid w:val="00FF0FF0"/>
    <w:rsid w:val="00FF163D"/>
    <w:rsid w:val="00FF16DE"/>
    <w:rsid w:val="00FF1800"/>
    <w:rsid w:val="00FF2DE4"/>
    <w:rsid w:val="00FF38B7"/>
    <w:rsid w:val="00FF3A4F"/>
    <w:rsid w:val="00FF3D44"/>
    <w:rsid w:val="00FF42F3"/>
    <w:rsid w:val="00FF5494"/>
    <w:rsid w:val="00FF56B8"/>
    <w:rsid w:val="00FF58C1"/>
    <w:rsid w:val="00FF5A47"/>
    <w:rsid w:val="00FF65FE"/>
    <w:rsid w:val="00FF6776"/>
    <w:rsid w:val="00FF6898"/>
    <w:rsid w:val="00FF752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5528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it-IT"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D6CEA"/>
    <w:rPr>
      <w:sz w:val="24"/>
    </w:rPr>
  </w:style>
  <w:style w:type="paragraph" w:styleId="Titolo1">
    <w:name w:val="heading 1"/>
    <w:basedOn w:val="Normale"/>
    <w:next w:val="Normale"/>
    <w:link w:val="Titolo1Carattere"/>
    <w:qFormat/>
    <w:rsid w:val="00CD6CEA"/>
    <w:pPr>
      <w:keepNext/>
      <w:ind w:left="1560"/>
      <w:jc w:val="center"/>
      <w:outlineLvl w:val="0"/>
    </w:pPr>
    <w:rPr>
      <w:rFonts w:ascii="Arial" w:hAnsi="Arial"/>
      <w:b/>
      <w:sz w:val="22"/>
    </w:rPr>
  </w:style>
  <w:style w:type="paragraph" w:styleId="Titolo2">
    <w:name w:val="heading 2"/>
    <w:basedOn w:val="Normale"/>
    <w:next w:val="Normale"/>
    <w:qFormat/>
    <w:rsid w:val="00CD6CEA"/>
    <w:pPr>
      <w:keepNext/>
      <w:jc w:val="center"/>
      <w:outlineLvl w:val="1"/>
    </w:pPr>
    <w:rPr>
      <w:rFonts w:ascii="Arial Narrow" w:eastAsia="Times New Roman" w:hAnsi="Arial Narrow"/>
      <w:b/>
      <w:sz w:val="22"/>
    </w:rPr>
  </w:style>
  <w:style w:type="paragraph" w:styleId="Titolo3">
    <w:name w:val="heading 3"/>
    <w:basedOn w:val="Normale"/>
    <w:next w:val="Normale"/>
    <w:qFormat/>
    <w:rsid w:val="00CD6CEA"/>
    <w:pPr>
      <w:keepNext/>
      <w:jc w:val="center"/>
      <w:outlineLvl w:val="2"/>
    </w:pPr>
    <w:rPr>
      <w:rFonts w:ascii="Arial" w:eastAsia="Times New Roman" w:hAnsi="Arial"/>
    </w:rPr>
  </w:style>
  <w:style w:type="paragraph" w:styleId="Titolo4">
    <w:name w:val="heading 4"/>
    <w:basedOn w:val="Normale"/>
    <w:next w:val="Normale"/>
    <w:qFormat/>
    <w:rsid w:val="00CD6CEA"/>
    <w:pPr>
      <w:keepNext/>
      <w:jc w:val="both"/>
      <w:outlineLvl w:val="3"/>
    </w:pPr>
    <w:rPr>
      <w:rFonts w:ascii="Times New Roman" w:eastAsia="Times New Roman" w:hAnsi="Times New Roman"/>
      <w:b/>
    </w:rPr>
  </w:style>
  <w:style w:type="paragraph" w:styleId="Titolo5">
    <w:name w:val="heading 5"/>
    <w:basedOn w:val="Normale"/>
    <w:next w:val="Normale"/>
    <w:qFormat/>
    <w:rsid w:val="00CD6CEA"/>
    <w:pPr>
      <w:keepNext/>
      <w:tabs>
        <w:tab w:val="right" w:pos="9072"/>
      </w:tabs>
      <w:ind w:left="1560"/>
      <w:jc w:val="both"/>
      <w:outlineLvl w:val="4"/>
    </w:pPr>
    <w:rPr>
      <w:rFonts w:ascii="Arial" w:hAnsi="Arial"/>
      <w:b/>
      <w:sz w:val="18"/>
    </w:rPr>
  </w:style>
  <w:style w:type="paragraph" w:styleId="Titolo6">
    <w:name w:val="heading 6"/>
    <w:basedOn w:val="Normale"/>
    <w:next w:val="Normale"/>
    <w:qFormat/>
    <w:rsid w:val="00CD6CEA"/>
    <w:pPr>
      <w:keepNext/>
      <w:jc w:val="both"/>
      <w:outlineLvl w:val="5"/>
    </w:pPr>
    <w:rPr>
      <w:rFonts w:ascii="Times New Roman" w:eastAsia="Times New Roman" w:hAnsi="Times New Roman"/>
      <w:u w:val="single"/>
    </w:rPr>
  </w:style>
  <w:style w:type="paragraph" w:styleId="Titolo7">
    <w:name w:val="heading 7"/>
    <w:basedOn w:val="Normale"/>
    <w:next w:val="Normale"/>
    <w:qFormat/>
    <w:rsid w:val="00CD6CEA"/>
    <w:pPr>
      <w:keepNext/>
      <w:jc w:val="both"/>
      <w:outlineLvl w:val="6"/>
    </w:pPr>
    <w:rPr>
      <w:rFonts w:ascii="Arial" w:hAnsi="Arial"/>
      <w:b/>
      <w:sz w:val="20"/>
    </w:rPr>
  </w:style>
  <w:style w:type="paragraph" w:styleId="Titolo8">
    <w:name w:val="heading 8"/>
    <w:basedOn w:val="Normale"/>
    <w:next w:val="Normale"/>
    <w:qFormat/>
    <w:rsid w:val="00CD6CEA"/>
    <w:pPr>
      <w:keepNext/>
      <w:ind w:left="2124"/>
      <w:jc w:val="both"/>
      <w:outlineLvl w:val="7"/>
    </w:pPr>
    <w:rPr>
      <w:rFonts w:ascii="Arial" w:hAnsi="Arial"/>
      <w:b/>
      <w:snapToGrid w:val="0"/>
      <w:sz w:val="18"/>
    </w:rPr>
  </w:style>
  <w:style w:type="paragraph" w:styleId="Titolo9">
    <w:name w:val="heading 9"/>
    <w:basedOn w:val="Normale"/>
    <w:next w:val="Normale"/>
    <w:qFormat/>
    <w:rsid w:val="00CD6CEA"/>
    <w:pPr>
      <w:keepNext/>
      <w:ind w:left="1560"/>
      <w:jc w:val="both"/>
      <w:outlineLvl w:val="8"/>
    </w:pPr>
    <w:rPr>
      <w:rFonts w:ascii="Arial" w:hAnsi="Arial"/>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rsid w:val="00CD6CEA"/>
    <w:pPr>
      <w:ind w:right="27"/>
      <w:jc w:val="both"/>
    </w:pPr>
    <w:rPr>
      <w:rFonts w:ascii="Arial" w:eastAsia="Times New Roman" w:hAnsi="Arial"/>
      <w:sz w:val="22"/>
    </w:rPr>
  </w:style>
  <w:style w:type="paragraph" w:styleId="Testodelblocco">
    <w:name w:val="Block Text"/>
    <w:basedOn w:val="Normale"/>
    <w:rsid w:val="00CD6CEA"/>
    <w:pPr>
      <w:ind w:left="1560" w:right="27"/>
      <w:jc w:val="both"/>
    </w:pPr>
    <w:rPr>
      <w:rFonts w:ascii="Arial" w:hAnsi="Arial"/>
      <w:sz w:val="22"/>
    </w:rPr>
  </w:style>
  <w:style w:type="paragraph" w:styleId="Corpotesto">
    <w:name w:val="Body Text"/>
    <w:basedOn w:val="Normale"/>
    <w:link w:val="CorpotestoCarattere"/>
    <w:rsid w:val="00CD6CEA"/>
    <w:pPr>
      <w:jc w:val="both"/>
    </w:pPr>
    <w:rPr>
      <w:rFonts w:ascii="Arial" w:eastAsia="Times New Roman" w:hAnsi="Arial"/>
    </w:rPr>
  </w:style>
  <w:style w:type="paragraph" w:styleId="Corpodeltesto2">
    <w:name w:val="Body Text 2"/>
    <w:basedOn w:val="Normale"/>
    <w:rsid w:val="00CD6CEA"/>
    <w:pPr>
      <w:jc w:val="both"/>
    </w:pPr>
    <w:rPr>
      <w:rFonts w:ascii="Arial" w:eastAsia="Times New Roman" w:hAnsi="Arial"/>
      <w:i/>
    </w:rPr>
  </w:style>
  <w:style w:type="paragraph" w:styleId="Rientrocorpodeltesto">
    <w:name w:val="Body Text Indent"/>
    <w:basedOn w:val="Normale"/>
    <w:rsid w:val="00CD6CEA"/>
    <w:pPr>
      <w:ind w:left="1560"/>
      <w:jc w:val="both"/>
    </w:pPr>
    <w:rPr>
      <w:rFonts w:ascii="Arial" w:hAnsi="Arial"/>
      <w:sz w:val="22"/>
    </w:rPr>
  </w:style>
  <w:style w:type="character" w:styleId="Enfasicorsivo">
    <w:name w:val="Emphasis"/>
    <w:qFormat/>
    <w:rsid w:val="00CD6CEA"/>
    <w:rPr>
      <w:i/>
    </w:rPr>
  </w:style>
  <w:style w:type="paragraph" w:styleId="Rientrocorpodeltesto2">
    <w:name w:val="Body Text Indent 2"/>
    <w:basedOn w:val="Normale"/>
    <w:rsid w:val="00CD6CEA"/>
    <w:pPr>
      <w:ind w:left="1560"/>
      <w:jc w:val="both"/>
    </w:pPr>
    <w:rPr>
      <w:rFonts w:ascii="Arial" w:hAnsi="Arial"/>
      <w:color w:val="000000"/>
      <w:sz w:val="22"/>
    </w:rPr>
  </w:style>
  <w:style w:type="character" w:styleId="Collegamentoipertestuale">
    <w:name w:val="Hyperlink"/>
    <w:rsid w:val="00CD6CEA"/>
    <w:rPr>
      <w:color w:val="0000FF"/>
      <w:u w:val="single"/>
    </w:rPr>
  </w:style>
  <w:style w:type="paragraph" w:customStyle="1" w:styleId="CG-Title-Left-Bold">
    <w:name w:val="CG-Title-Left-Bold"/>
    <w:aliases w:val="t3"/>
    <w:basedOn w:val="Normale"/>
    <w:next w:val="Normale"/>
    <w:rsid w:val="00CD6CEA"/>
    <w:pPr>
      <w:keepNext/>
      <w:spacing w:after="240"/>
    </w:pPr>
    <w:rPr>
      <w:rFonts w:ascii="Times New Roman" w:eastAsia="Times New Roman" w:hAnsi="Times New Roman"/>
      <w:b/>
    </w:rPr>
  </w:style>
  <w:style w:type="character" w:styleId="Collegamentovisitato">
    <w:name w:val="FollowedHyperlink"/>
    <w:rsid w:val="00CD6CEA"/>
    <w:rPr>
      <w:color w:val="800080"/>
      <w:u w:val="single"/>
    </w:rPr>
  </w:style>
  <w:style w:type="paragraph" w:styleId="Pidipagina">
    <w:name w:val="footer"/>
    <w:basedOn w:val="Normale"/>
    <w:link w:val="PidipaginaCarattere"/>
    <w:rsid w:val="00CD6CEA"/>
    <w:pPr>
      <w:tabs>
        <w:tab w:val="center" w:pos="4536"/>
        <w:tab w:val="right" w:pos="9072"/>
      </w:tabs>
    </w:pPr>
  </w:style>
  <w:style w:type="character" w:styleId="Numeropagina">
    <w:name w:val="page number"/>
    <w:basedOn w:val="Carpredefinitoparagrafo"/>
    <w:rsid w:val="00CD6CEA"/>
  </w:style>
  <w:style w:type="paragraph" w:styleId="Intestazione">
    <w:name w:val="header"/>
    <w:basedOn w:val="Normale"/>
    <w:rsid w:val="00CD6CEA"/>
    <w:pPr>
      <w:tabs>
        <w:tab w:val="center" w:pos="4536"/>
        <w:tab w:val="right" w:pos="9072"/>
      </w:tabs>
    </w:pPr>
  </w:style>
  <w:style w:type="paragraph" w:styleId="Mappadocumento">
    <w:name w:val="Document Map"/>
    <w:basedOn w:val="Normale"/>
    <w:semiHidden/>
    <w:rsid w:val="00CD6CEA"/>
    <w:pPr>
      <w:shd w:val="clear" w:color="auto" w:fill="000080"/>
    </w:pPr>
    <w:rPr>
      <w:rFonts w:ascii="Tahoma" w:hAnsi="Tahoma"/>
    </w:rPr>
  </w:style>
  <w:style w:type="paragraph" w:styleId="Rientrocorpodeltesto3">
    <w:name w:val="Body Text Indent 3"/>
    <w:basedOn w:val="Normale"/>
    <w:rsid w:val="00CD6CEA"/>
    <w:pPr>
      <w:ind w:left="1560"/>
      <w:jc w:val="both"/>
    </w:pPr>
    <w:rPr>
      <w:rFonts w:ascii="Arial" w:hAnsi="Arial"/>
      <w:sz w:val="20"/>
    </w:rPr>
  </w:style>
  <w:style w:type="paragraph" w:customStyle="1" w:styleId="Tables">
    <w:name w:val="Tables"/>
    <w:next w:val="Source"/>
    <w:rsid w:val="00CD6CEA"/>
    <w:pPr>
      <w:keepNext/>
      <w:keepLines/>
      <w:spacing w:line="200" w:lineRule="atLeast"/>
      <w:ind w:left="6" w:right="6"/>
      <w:jc w:val="right"/>
    </w:pPr>
    <w:rPr>
      <w:rFonts w:ascii="UniversLight" w:eastAsia="Times New Roman" w:hAnsi="UniversLight"/>
      <w:color w:val="000000"/>
      <w:sz w:val="19"/>
    </w:rPr>
  </w:style>
  <w:style w:type="paragraph" w:customStyle="1" w:styleId="Source">
    <w:name w:val="Source"/>
    <w:basedOn w:val="Normale"/>
    <w:next w:val="Normale"/>
    <w:rsid w:val="00CD6CEA"/>
    <w:pPr>
      <w:pBdr>
        <w:bottom w:val="single" w:sz="4" w:space="3" w:color="0000FF"/>
      </w:pBdr>
      <w:spacing w:after="240" w:line="200" w:lineRule="atLeast"/>
      <w:ind w:left="-2410" w:right="28"/>
      <w:jc w:val="both"/>
    </w:pPr>
    <w:rPr>
      <w:rFonts w:ascii="UniversLight" w:eastAsia="Times New Roman" w:hAnsi="UniversLight"/>
      <w:i/>
      <w:sz w:val="16"/>
    </w:rPr>
  </w:style>
  <w:style w:type="paragraph" w:customStyle="1" w:styleId="TableHeadingP">
    <w:name w:val="Table Heading P"/>
    <w:basedOn w:val="Normale"/>
    <w:next w:val="Normale"/>
    <w:rsid w:val="00CD6CEA"/>
    <w:pPr>
      <w:keepNext/>
      <w:keepLines/>
      <w:pBdr>
        <w:top w:val="single" w:sz="4" w:space="1" w:color="0000FF"/>
        <w:left w:val="single" w:sz="4" w:space="0" w:color="0000FF"/>
        <w:bottom w:val="single" w:sz="4" w:space="2" w:color="0000FF"/>
        <w:right w:val="single" w:sz="4" w:space="0" w:color="0000FF"/>
      </w:pBdr>
      <w:shd w:val="clear" w:color="auto" w:fill="0000FF"/>
      <w:spacing w:line="240" w:lineRule="atLeast"/>
      <w:ind w:left="-2466" w:right="28"/>
    </w:pPr>
    <w:rPr>
      <w:rFonts w:ascii="UniversLight" w:eastAsia="Times New Roman" w:hAnsi="UniversLight"/>
      <w:color w:val="FFFFFF"/>
      <w:sz w:val="20"/>
    </w:rPr>
  </w:style>
  <w:style w:type="paragraph" w:styleId="Puntoelenco2">
    <w:name w:val="List Bullet 2"/>
    <w:basedOn w:val="Normale"/>
    <w:autoRedefine/>
    <w:rsid w:val="00CD6CEA"/>
    <w:pPr>
      <w:numPr>
        <w:numId w:val="1"/>
      </w:numPr>
    </w:pPr>
    <w:rPr>
      <w:rFonts w:ascii="CG Times (WN)" w:eastAsia="Times New Roman" w:hAnsi="CG Times (WN)"/>
      <w:szCs w:val="24"/>
    </w:rPr>
  </w:style>
  <w:style w:type="paragraph" w:customStyle="1" w:styleId="BalloonText1">
    <w:name w:val="Balloon Text1"/>
    <w:basedOn w:val="Normale"/>
    <w:semiHidden/>
    <w:rsid w:val="00CD6CEA"/>
    <w:rPr>
      <w:rFonts w:ascii="Tahoma" w:hAnsi="Tahoma" w:cs="Tahoma"/>
      <w:sz w:val="16"/>
      <w:szCs w:val="16"/>
    </w:rPr>
  </w:style>
  <w:style w:type="paragraph" w:styleId="Testofumetto">
    <w:name w:val="Balloon Text"/>
    <w:basedOn w:val="Normale"/>
    <w:semiHidden/>
    <w:rsid w:val="008D33C3"/>
    <w:rPr>
      <w:rFonts w:ascii="Tahoma" w:hAnsi="Tahoma" w:cs="Tahoma"/>
      <w:sz w:val="16"/>
      <w:szCs w:val="16"/>
    </w:rPr>
  </w:style>
  <w:style w:type="table" w:styleId="Grigliatabella">
    <w:name w:val="Table Grid"/>
    <w:basedOn w:val="Tabellanormale"/>
    <w:rsid w:val="00D86F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71487"/>
    <w:pPr>
      <w:widowControl w:val="0"/>
      <w:suppressAutoHyphens/>
      <w:autoSpaceDN w:val="0"/>
      <w:textAlignment w:val="baseline"/>
    </w:pPr>
    <w:rPr>
      <w:rFonts w:ascii="Times New Roman" w:eastAsia="Andale Sans UI" w:hAnsi="Times New Roman" w:cs="Tahoma"/>
      <w:kern w:val="3"/>
      <w:sz w:val="24"/>
      <w:szCs w:val="24"/>
    </w:rPr>
  </w:style>
  <w:style w:type="character" w:styleId="Enfasigrassetto">
    <w:name w:val="Strong"/>
    <w:qFormat/>
    <w:rsid w:val="00470599"/>
    <w:rPr>
      <w:b/>
      <w:bCs/>
    </w:rPr>
  </w:style>
  <w:style w:type="character" w:customStyle="1" w:styleId="durandorsoni">
    <w:name w:val="durand_orsoni"/>
    <w:semiHidden/>
    <w:rsid w:val="003F339A"/>
    <w:rPr>
      <w:rFonts w:ascii="Verdana" w:hAnsi="Verdana" w:hint="default"/>
      <w:b w:val="0"/>
      <w:bCs w:val="0"/>
      <w:i w:val="0"/>
      <w:iCs w:val="0"/>
      <w:strike w:val="0"/>
      <w:dstrike w:val="0"/>
      <w:color w:val="000080"/>
      <w:sz w:val="20"/>
      <w:szCs w:val="20"/>
      <w:u w:val="none"/>
      <w:effect w:val="none"/>
    </w:rPr>
  </w:style>
  <w:style w:type="character" w:customStyle="1" w:styleId="emailstyle18">
    <w:name w:val="emailstyle18"/>
    <w:semiHidden/>
    <w:rsid w:val="005100AE"/>
    <w:rPr>
      <w:rFonts w:ascii="Verdana" w:hAnsi="Verdana" w:hint="default"/>
      <w:b w:val="0"/>
      <w:bCs w:val="0"/>
      <w:i w:val="0"/>
      <w:iCs w:val="0"/>
      <w:strike w:val="0"/>
      <w:dstrike w:val="0"/>
      <w:color w:val="auto"/>
      <w:sz w:val="20"/>
      <w:szCs w:val="20"/>
      <w:u w:val="none"/>
      <w:effect w:val="none"/>
    </w:rPr>
  </w:style>
  <w:style w:type="paragraph" w:styleId="Testonormale">
    <w:name w:val="Plain Text"/>
    <w:basedOn w:val="Normale"/>
    <w:link w:val="TestonormaleCarattere"/>
    <w:uiPriority w:val="99"/>
    <w:unhideWhenUsed/>
    <w:rsid w:val="00B9244D"/>
    <w:rPr>
      <w:rFonts w:ascii="Calibri" w:eastAsia="Calibri" w:hAnsi="Calibri"/>
      <w:sz w:val="22"/>
      <w:szCs w:val="21"/>
    </w:rPr>
  </w:style>
  <w:style w:type="character" w:customStyle="1" w:styleId="TestonormaleCarattere">
    <w:name w:val="Testo normale Carattere"/>
    <w:link w:val="Testonormale"/>
    <w:uiPriority w:val="99"/>
    <w:rsid w:val="00B9244D"/>
    <w:rPr>
      <w:rFonts w:ascii="Calibri" w:eastAsia="Calibri" w:hAnsi="Calibri"/>
      <w:sz w:val="22"/>
      <w:szCs w:val="21"/>
      <w:lang w:eastAsia="en-GB"/>
    </w:rPr>
  </w:style>
  <w:style w:type="paragraph" w:customStyle="1" w:styleId="Titre61">
    <w:name w:val="Titre 61"/>
    <w:aliases w:val="heading 6,h6"/>
    <w:basedOn w:val="Normale"/>
    <w:next w:val="Normale"/>
    <w:rsid w:val="00563A80"/>
    <w:pPr>
      <w:keepNext/>
      <w:widowControl w:val="0"/>
      <w:tabs>
        <w:tab w:val="num" w:pos="360"/>
        <w:tab w:val="num" w:pos="4320"/>
      </w:tabs>
      <w:autoSpaceDE w:val="0"/>
      <w:autoSpaceDN w:val="0"/>
      <w:adjustRightInd w:val="0"/>
      <w:spacing w:after="100"/>
      <w:outlineLvl w:val="5"/>
    </w:pPr>
    <w:rPr>
      <w:rFonts w:ascii="Garamond" w:eastAsia="Times New Roman" w:hAnsi="Garamond" w:cs="Garamond"/>
      <w:b/>
      <w:bCs/>
      <w:i/>
      <w:iCs/>
      <w:sz w:val="19"/>
      <w:szCs w:val="19"/>
    </w:rPr>
  </w:style>
  <w:style w:type="character" w:customStyle="1" w:styleId="PidipaginaCarattere">
    <w:name w:val="Piè di pagina Carattere"/>
    <w:link w:val="Pidipagina"/>
    <w:uiPriority w:val="99"/>
    <w:rsid w:val="00563A80"/>
    <w:rPr>
      <w:sz w:val="24"/>
    </w:rPr>
  </w:style>
  <w:style w:type="character" w:customStyle="1" w:styleId="CorpotestoCarattere">
    <w:name w:val="Corpo testo Carattere"/>
    <w:link w:val="Corpotesto"/>
    <w:rsid w:val="00CF2DAA"/>
    <w:rPr>
      <w:rFonts w:ascii="Arial" w:eastAsia="Times New Roman" w:hAnsi="Arial"/>
      <w:sz w:val="24"/>
      <w:lang w:val="it-IT"/>
    </w:rPr>
  </w:style>
  <w:style w:type="paragraph" w:customStyle="1" w:styleId="Listecouleur-Accent11">
    <w:name w:val="Liste couleur - Accent 11"/>
    <w:basedOn w:val="Normale"/>
    <w:uiPriority w:val="34"/>
    <w:qFormat/>
    <w:rsid w:val="00BE59E1"/>
    <w:pPr>
      <w:ind w:left="720"/>
    </w:pPr>
    <w:rPr>
      <w:rFonts w:ascii="Calibri" w:eastAsia="Calibri" w:hAnsi="Calibri" w:cs="Calibri"/>
      <w:sz w:val="22"/>
      <w:szCs w:val="22"/>
    </w:rPr>
  </w:style>
  <w:style w:type="paragraph" w:styleId="Paragrafoelenco">
    <w:name w:val="List Paragraph"/>
    <w:basedOn w:val="Normale"/>
    <w:uiPriority w:val="34"/>
    <w:qFormat/>
    <w:rsid w:val="00011470"/>
    <w:pPr>
      <w:ind w:left="720"/>
    </w:pPr>
    <w:rPr>
      <w:rFonts w:ascii="Calibri" w:eastAsia="Calibri" w:hAnsi="Calibri" w:cs="Calibri"/>
      <w:sz w:val="22"/>
      <w:szCs w:val="22"/>
    </w:rPr>
  </w:style>
  <w:style w:type="paragraph" w:styleId="Revisione">
    <w:name w:val="Revision"/>
    <w:hidden/>
    <w:uiPriority w:val="99"/>
    <w:semiHidden/>
    <w:rsid w:val="00011470"/>
    <w:rPr>
      <w:sz w:val="24"/>
    </w:rPr>
  </w:style>
  <w:style w:type="character" w:styleId="Rimandocommento">
    <w:name w:val="annotation reference"/>
    <w:basedOn w:val="Carpredefinitoparagrafo"/>
    <w:rsid w:val="00B05BAC"/>
    <w:rPr>
      <w:sz w:val="16"/>
      <w:szCs w:val="16"/>
    </w:rPr>
  </w:style>
  <w:style w:type="paragraph" w:styleId="Testocommento">
    <w:name w:val="annotation text"/>
    <w:basedOn w:val="Normale"/>
    <w:link w:val="TestocommentoCarattere"/>
    <w:rsid w:val="00B05BAC"/>
    <w:rPr>
      <w:sz w:val="20"/>
    </w:rPr>
  </w:style>
  <w:style w:type="character" w:customStyle="1" w:styleId="TestocommentoCarattere">
    <w:name w:val="Testo commento Carattere"/>
    <w:basedOn w:val="Carpredefinitoparagrafo"/>
    <w:link w:val="Testocommento"/>
    <w:rsid w:val="00B05BAC"/>
  </w:style>
  <w:style w:type="paragraph" w:styleId="Soggettocommento">
    <w:name w:val="annotation subject"/>
    <w:basedOn w:val="Testocommento"/>
    <w:next w:val="Testocommento"/>
    <w:link w:val="SoggettocommentoCarattere"/>
    <w:rsid w:val="00B05BAC"/>
    <w:rPr>
      <w:b/>
      <w:bCs/>
    </w:rPr>
  </w:style>
  <w:style w:type="character" w:customStyle="1" w:styleId="SoggettocommentoCarattere">
    <w:name w:val="Soggetto commento Carattere"/>
    <w:basedOn w:val="TestocommentoCarattere"/>
    <w:link w:val="Soggettocommento"/>
    <w:rsid w:val="00B05BAC"/>
    <w:rPr>
      <w:b/>
      <w:bCs/>
    </w:rPr>
  </w:style>
  <w:style w:type="character" w:customStyle="1" w:styleId="Titolo1Carattere">
    <w:name w:val="Titolo 1 Carattere"/>
    <w:basedOn w:val="Carpredefinitoparagrafo"/>
    <w:link w:val="Titolo1"/>
    <w:rsid w:val="00C8321E"/>
    <w:rPr>
      <w:rFonts w:ascii="Arial" w:hAnsi="Arial"/>
      <w:b/>
      <w:sz w:val="22"/>
    </w:rPr>
  </w:style>
  <w:style w:type="paragraph" w:styleId="NormaleWeb">
    <w:name w:val="Normal (Web)"/>
    <w:basedOn w:val="Normale"/>
    <w:uiPriority w:val="99"/>
    <w:semiHidden/>
    <w:unhideWhenUsed/>
    <w:rsid w:val="00DF4F4A"/>
    <w:pPr>
      <w:spacing w:before="100" w:beforeAutospacing="1" w:after="100" w:afterAutospacing="1"/>
    </w:pPr>
    <w:rPr>
      <w:rFonts w:ascii="Times New Roman" w:eastAsia="Times New Roman" w:hAnsi="Times New Roman"/>
      <w:szCs w:val="24"/>
      <w:lang w:eastAsia="fr-FR" w:bidi="ar-SA"/>
    </w:rPr>
  </w:style>
  <w:style w:type="character" w:customStyle="1" w:styleId="Menzione1">
    <w:name w:val="Menzione1"/>
    <w:basedOn w:val="Carpredefinitoparagrafo"/>
    <w:uiPriority w:val="99"/>
    <w:semiHidden/>
    <w:unhideWhenUsed/>
    <w:rsid w:val="00AA4A9C"/>
    <w:rPr>
      <w:color w:val="2B579A"/>
      <w:shd w:val="clear" w:color="auto" w:fill="E6E6E6"/>
    </w:rPr>
  </w:style>
  <w:style w:type="character" w:customStyle="1" w:styleId="Mention1">
    <w:name w:val="Mention1"/>
    <w:basedOn w:val="Carpredefinitoparagrafo"/>
    <w:uiPriority w:val="99"/>
    <w:semiHidden/>
    <w:unhideWhenUsed/>
    <w:rsid w:val="00F12158"/>
    <w:rPr>
      <w:color w:val="2B579A"/>
      <w:shd w:val="clear" w:color="auto" w:fill="E6E6E6"/>
    </w:rPr>
  </w:style>
  <w:style w:type="paragraph" w:styleId="Testonotaapidipagina">
    <w:name w:val="footnote text"/>
    <w:basedOn w:val="Normale"/>
    <w:link w:val="TestonotaapidipaginaCarattere"/>
    <w:semiHidden/>
    <w:unhideWhenUsed/>
    <w:rsid w:val="00F12158"/>
    <w:rPr>
      <w:sz w:val="20"/>
    </w:rPr>
  </w:style>
  <w:style w:type="character" w:customStyle="1" w:styleId="TestonotaapidipaginaCarattere">
    <w:name w:val="Testo nota a piè di pagina Carattere"/>
    <w:basedOn w:val="Carpredefinitoparagrafo"/>
    <w:link w:val="Testonotaapidipagina"/>
    <w:semiHidden/>
    <w:rsid w:val="00F12158"/>
  </w:style>
  <w:style w:type="character" w:styleId="Rimandonotaapidipagina">
    <w:name w:val="footnote reference"/>
    <w:basedOn w:val="Carpredefinitoparagrafo"/>
    <w:semiHidden/>
    <w:unhideWhenUsed/>
    <w:rsid w:val="00F121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0098">
      <w:bodyDiv w:val="1"/>
      <w:marLeft w:val="0"/>
      <w:marRight w:val="0"/>
      <w:marTop w:val="0"/>
      <w:marBottom w:val="0"/>
      <w:divBdr>
        <w:top w:val="none" w:sz="0" w:space="0" w:color="auto"/>
        <w:left w:val="none" w:sz="0" w:space="0" w:color="auto"/>
        <w:bottom w:val="none" w:sz="0" w:space="0" w:color="auto"/>
        <w:right w:val="none" w:sz="0" w:space="0" w:color="auto"/>
      </w:divBdr>
    </w:div>
    <w:div w:id="86342824">
      <w:bodyDiv w:val="1"/>
      <w:marLeft w:val="0"/>
      <w:marRight w:val="0"/>
      <w:marTop w:val="0"/>
      <w:marBottom w:val="0"/>
      <w:divBdr>
        <w:top w:val="none" w:sz="0" w:space="0" w:color="auto"/>
        <w:left w:val="none" w:sz="0" w:space="0" w:color="auto"/>
        <w:bottom w:val="none" w:sz="0" w:space="0" w:color="auto"/>
        <w:right w:val="none" w:sz="0" w:space="0" w:color="auto"/>
      </w:divBdr>
    </w:div>
    <w:div w:id="148256521">
      <w:bodyDiv w:val="1"/>
      <w:marLeft w:val="0"/>
      <w:marRight w:val="0"/>
      <w:marTop w:val="0"/>
      <w:marBottom w:val="0"/>
      <w:divBdr>
        <w:top w:val="none" w:sz="0" w:space="0" w:color="auto"/>
        <w:left w:val="none" w:sz="0" w:space="0" w:color="auto"/>
        <w:bottom w:val="none" w:sz="0" w:space="0" w:color="auto"/>
        <w:right w:val="none" w:sz="0" w:space="0" w:color="auto"/>
      </w:divBdr>
    </w:div>
    <w:div w:id="172576927">
      <w:bodyDiv w:val="1"/>
      <w:marLeft w:val="0"/>
      <w:marRight w:val="0"/>
      <w:marTop w:val="0"/>
      <w:marBottom w:val="0"/>
      <w:divBdr>
        <w:top w:val="none" w:sz="0" w:space="0" w:color="auto"/>
        <w:left w:val="none" w:sz="0" w:space="0" w:color="auto"/>
        <w:bottom w:val="none" w:sz="0" w:space="0" w:color="auto"/>
        <w:right w:val="none" w:sz="0" w:space="0" w:color="auto"/>
      </w:divBdr>
    </w:div>
    <w:div w:id="173543408">
      <w:bodyDiv w:val="1"/>
      <w:marLeft w:val="0"/>
      <w:marRight w:val="0"/>
      <w:marTop w:val="0"/>
      <w:marBottom w:val="0"/>
      <w:divBdr>
        <w:top w:val="none" w:sz="0" w:space="0" w:color="auto"/>
        <w:left w:val="none" w:sz="0" w:space="0" w:color="auto"/>
        <w:bottom w:val="none" w:sz="0" w:space="0" w:color="auto"/>
        <w:right w:val="none" w:sz="0" w:space="0" w:color="auto"/>
      </w:divBdr>
    </w:div>
    <w:div w:id="198589742">
      <w:bodyDiv w:val="1"/>
      <w:marLeft w:val="0"/>
      <w:marRight w:val="0"/>
      <w:marTop w:val="0"/>
      <w:marBottom w:val="0"/>
      <w:divBdr>
        <w:top w:val="none" w:sz="0" w:space="0" w:color="auto"/>
        <w:left w:val="none" w:sz="0" w:space="0" w:color="auto"/>
        <w:bottom w:val="none" w:sz="0" w:space="0" w:color="auto"/>
        <w:right w:val="none" w:sz="0" w:space="0" w:color="auto"/>
      </w:divBdr>
    </w:div>
    <w:div w:id="282277090">
      <w:bodyDiv w:val="1"/>
      <w:marLeft w:val="0"/>
      <w:marRight w:val="0"/>
      <w:marTop w:val="0"/>
      <w:marBottom w:val="0"/>
      <w:divBdr>
        <w:top w:val="none" w:sz="0" w:space="0" w:color="auto"/>
        <w:left w:val="none" w:sz="0" w:space="0" w:color="auto"/>
        <w:bottom w:val="none" w:sz="0" w:space="0" w:color="auto"/>
        <w:right w:val="none" w:sz="0" w:space="0" w:color="auto"/>
      </w:divBdr>
    </w:div>
    <w:div w:id="290675028">
      <w:bodyDiv w:val="1"/>
      <w:marLeft w:val="0"/>
      <w:marRight w:val="0"/>
      <w:marTop w:val="0"/>
      <w:marBottom w:val="0"/>
      <w:divBdr>
        <w:top w:val="none" w:sz="0" w:space="0" w:color="auto"/>
        <w:left w:val="none" w:sz="0" w:space="0" w:color="auto"/>
        <w:bottom w:val="none" w:sz="0" w:space="0" w:color="auto"/>
        <w:right w:val="none" w:sz="0" w:space="0" w:color="auto"/>
      </w:divBdr>
    </w:div>
    <w:div w:id="330374700">
      <w:bodyDiv w:val="1"/>
      <w:marLeft w:val="0"/>
      <w:marRight w:val="0"/>
      <w:marTop w:val="0"/>
      <w:marBottom w:val="0"/>
      <w:divBdr>
        <w:top w:val="none" w:sz="0" w:space="0" w:color="auto"/>
        <w:left w:val="none" w:sz="0" w:space="0" w:color="auto"/>
        <w:bottom w:val="none" w:sz="0" w:space="0" w:color="auto"/>
        <w:right w:val="none" w:sz="0" w:space="0" w:color="auto"/>
      </w:divBdr>
    </w:div>
    <w:div w:id="344212729">
      <w:bodyDiv w:val="1"/>
      <w:marLeft w:val="0"/>
      <w:marRight w:val="0"/>
      <w:marTop w:val="0"/>
      <w:marBottom w:val="0"/>
      <w:divBdr>
        <w:top w:val="none" w:sz="0" w:space="0" w:color="auto"/>
        <w:left w:val="none" w:sz="0" w:space="0" w:color="auto"/>
        <w:bottom w:val="none" w:sz="0" w:space="0" w:color="auto"/>
        <w:right w:val="none" w:sz="0" w:space="0" w:color="auto"/>
      </w:divBdr>
    </w:div>
    <w:div w:id="366564311">
      <w:bodyDiv w:val="1"/>
      <w:marLeft w:val="0"/>
      <w:marRight w:val="0"/>
      <w:marTop w:val="0"/>
      <w:marBottom w:val="0"/>
      <w:divBdr>
        <w:top w:val="none" w:sz="0" w:space="0" w:color="auto"/>
        <w:left w:val="none" w:sz="0" w:space="0" w:color="auto"/>
        <w:bottom w:val="none" w:sz="0" w:space="0" w:color="auto"/>
        <w:right w:val="none" w:sz="0" w:space="0" w:color="auto"/>
      </w:divBdr>
    </w:div>
    <w:div w:id="385032259">
      <w:bodyDiv w:val="1"/>
      <w:marLeft w:val="0"/>
      <w:marRight w:val="0"/>
      <w:marTop w:val="0"/>
      <w:marBottom w:val="0"/>
      <w:divBdr>
        <w:top w:val="none" w:sz="0" w:space="0" w:color="auto"/>
        <w:left w:val="none" w:sz="0" w:space="0" w:color="auto"/>
        <w:bottom w:val="none" w:sz="0" w:space="0" w:color="auto"/>
        <w:right w:val="none" w:sz="0" w:space="0" w:color="auto"/>
      </w:divBdr>
    </w:div>
    <w:div w:id="446319717">
      <w:bodyDiv w:val="1"/>
      <w:marLeft w:val="0"/>
      <w:marRight w:val="0"/>
      <w:marTop w:val="0"/>
      <w:marBottom w:val="0"/>
      <w:divBdr>
        <w:top w:val="none" w:sz="0" w:space="0" w:color="auto"/>
        <w:left w:val="none" w:sz="0" w:space="0" w:color="auto"/>
        <w:bottom w:val="none" w:sz="0" w:space="0" w:color="auto"/>
        <w:right w:val="none" w:sz="0" w:space="0" w:color="auto"/>
      </w:divBdr>
    </w:div>
    <w:div w:id="550118622">
      <w:bodyDiv w:val="1"/>
      <w:marLeft w:val="0"/>
      <w:marRight w:val="0"/>
      <w:marTop w:val="0"/>
      <w:marBottom w:val="0"/>
      <w:divBdr>
        <w:top w:val="none" w:sz="0" w:space="0" w:color="auto"/>
        <w:left w:val="none" w:sz="0" w:space="0" w:color="auto"/>
        <w:bottom w:val="none" w:sz="0" w:space="0" w:color="auto"/>
        <w:right w:val="none" w:sz="0" w:space="0" w:color="auto"/>
      </w:divBdr>
    </w:div>
    <w:div w:id="564491475">
      <w:bodyDiv w:val="1"/>
      <w:marLeft w:val="0"/>
      <w:marRight w:val="0"/>
      <w:marTop w:val="0"/>
      <w:marBottom w:val="0"/>
      <w:divBdr>
        <w:top w:val="none" w:sz="0" w:space="0" w:color="auto"/>
        <w:left w:val="none" w:sz="0" w:space="0" w:color="auto"/>
        <w:bottom w:val="none" w:sz="0" w:space="0" w:color="auto"/>
        <w:right w:val="none" w:sz="0" w:space="0" w:color="auto"/>
      </w:divBdr>
    </w:div>
    <w:div w:id="583611590">
      <w:bodyDiv w:val="1"/>
      <w:marLeft w:val="0"/>
      <w:marRight w:val="0"/>
      <w:marTop w:val="0"/>
      <w:marBottom w:val="0"/>
      <w:divBdr>
        <w:top w:val="none" w:sz="0" w:space="0" w:color="auto"/>
        <w:left w:val="none" w:sz="0" w:space="0" w:color="auto"/>
        <w:bottom w:val="none" w:sz="0" w:space="0" w:color="auto"/>
        <w:right w:val="none" w:sz="0" w:space="0" w:color="auto"/>
      </w:divBdr>
    </w:div>
    <w:div w:id="602880577">
      <w:bodyDiv w:val="1"/>
      <w:marLeft w:val="0"/>
      <w:marRight w:val="0"/>
      <w:marTop w:val="0"/>
      <w:marBottom w:val="0"/>
      <w:divBdr>
        <w:top w:val="none" w:sz="0" w:space="0" w:color="auto"/>
        <w:left w:val="none" w:sz="0" w:space="0" w:color="auto"/>
        <w:bottom w:val="none" w:sz="0" w:space="0" w:color="auto"/>
        <w:right w:val="none" w:sz="0" w:space="0" w:color="auto"/>
      </w:divBdr>
    </w:div>
    <w:div w:id="629018784">
      <w:bodyDiv w:val="1"/>
      <w:marLeft w:val="0"/>
      <w:marRight w:val="0"/>
      <w:marTop w:val="0"/>
      <w:marBottom w:val="0"/>
      <w:divBdr>
        <w:top w:val="none" w:sz="0" w:space="0" w:color="auto"/>
        <w:left w:val="none" w:sz="0" w:space="0" w:color="auto"/>
        <w:bottom w:val="none" w:sz="0" w:space="0" w:color="auto"/>
        <w:right w:val="none" w:sz="0" w:space="0" w:color="auto"/>
      </w:divBdr>
    </w:div>
    <w:div w:id="683627876">
      <w:bodyDiv w:val="1"/>
      <w:marLeft w:val="0"/>
      <w:marRight w:val="0"/>
      <w:marTop w:val="0"/>
      <w:marBottom w:val="0"/>
      <w:divBdr>
        <w:top w:val="none" w:sz="0" w:space="0" w:color="auto"/>
        <w:left w:val="none" w:sz="0" w:space="0" w:color="auto"/>
        <w:bottom w:val="none" w:sz="0" w:space="0" w:color="auto"/>
        <w:right w:val="none" w:sz="0" w:space="0" w:color="auto"/>
      </w:divBdr>
    </w:div>
    <w:div w:id="712996774">
      <w:bodyDiv w:val="1"/>
      <w:marLeft w:val="0"/>
      <w:marRight w:val="0"/>
      <w:marTop w:val="0"/>
      <w:marBottom w:val="0"/>
      <w:divBdr>
        <w:top w:val="none" w:sz="0" w:space="0" w:color="auto"/>
        <w:left w:val="none" w:sz="0" w:space="0" w:color="auto"/>
        <w:bottom w:val="none" w:sz="0" w:space="0" w:color="auto"/>
        <w:right w:val="none" w:sz="0" w:space="0" w:color="auto"/>
      </w:divBdr>
      <w:divsChild>
        <w:div w:id="970011654">
          <w:marLeft w:val="0"/>
          <w:marRight w:val="0"/>
          <w:marTop w:val="0"/>
          <w:marBottom w:val="0"/>
          <w:divBdr>
            <w:top w:val="none" w:sz="0" w:space="0" w:color="auto"/>
            <w:left w:val="none" w:sz="0" w:space="0" w:color="auto"/>
            <w:bottom w:val="none" w:sz="0" w:space="0" w:color="auto"/>
            <w:right w:val="none" w:sz="0" w:space="0" w:color="auto"/>
          </w:divBdr>
        </w:div>
        <w:div w:id="1211452532">
          <w:marLeft w:val="0"/>
          <w:marRight w:val="0"/>
          <w:marTop w:val="0"/>
          <w:marBottom w:val="0"/>
          <w:divBdr>
            <w:top w:val="none" w:sz="0" w:space="0" w:color="auto"/>
            <w:left w:val="none" w:sz="0" w:space="0" w:color="auto"/>
            <w:bottom w:val="none" w:sz="0" w:space="0" w:color="auto"/>
            <w:right w:val="none" w:sz="0" w:space="0" w:color="auto"/>
          </w:divBdr>
        </w:div>
        <w:div w:id="1794206422">
          <w:marLeft w:val="0"/>
          <w:marRight w:val="0"/>
          <w:marTop w:val="0"/>
          <w:marBottom w:val="0"/>
          <w:divBdr>
            <w:top w:val="none" w:sz="0" w:space="0" w:color="auto"/>
            <w:left w:val="none" w:sz="0" w:space="0" w:color="auto"/>
            <w:bottom w:val="none" w:sz="0" w:space="0" w:color="auto"/>
            <w:right w:val="none" w:sz="0" w:space="0" w:color="auto"/>
          </w:divBdr>
        </w:div>
      </w:divsChild>
    </w:div>
    <w:div w:id="738668783">
      <w:bodyDiv w:val="1"/>
      <w:marLeft w:val="0"/>
      <w:marRight w:val="0"/>
      <w:marTop w:val="0"/>
      <w:marBottom w:val="0"/>
      <w:divBdr>
        <w:top w:val="none" w:sz="0" w:space="0" w:color="auto"/>
        <w:left w:val="none" w:sz="0" w:space="0" w:color="auto"/>
        <w:bottom w:val="none" w:sz="0" w:space="0" w:color="auto"/>
        <w:right w:val="none" w:sz="0" w:space="0" w:color="auto"/>
      </w:divBdr>
    </w:div>
    <w:div w:id="818618822">
      <w:bodyDiv w:val="1"/>
      <w:marLeft w:val="0"/>
      <w:marRight w:val="0"/>
      <w:marTop w:val="0"/>
      <w:marBottom w:val="0"/>
      <w:divBdr>
        <w:top w:val="none" w:sz="0" w:space="0" w:color="auto"/>
        <w:left w:val="none" w:sz="0" w:space="0" w:color="auto"/>
        <w:bottom w:val="none" w:sz="0" w:space="0" w:color="auto"/>
        <w:right w:val="none" w:sz="0" w:space="0" w:color="auto"/>
      </w:divBdr>
    </w:div>
    <w:div w:id="874654455">
      <w:bodyDiv w:val="1"/>
      <w:marLeft w:val="0"/>
      <w:marRight w:val="0"/>
      <w:marTop w:val="0"/>
      <w:marBottom w:val="0"/>
      <w:divBdr>
        <w:top w:val="none" w:sz="0" w:space="0" w:color="auto"/>
        <w:left w:val="none" w:sz="0" w:space="0" w:color="auto"/>
        <w:bottom w:val="none" w:sz="0" w:space="0" w:color="auto"/>
        <w:right w:val="none" w:sz="0" w:space="0" w:color="auto"/>
      </w:divBdr>
    </w:div>
    <w:div w:id="920454895">
      <w:bodyDiv w:val="1"/>
      <w:marLeft w:val="0"/>
      <w:marRight w:val="0"/>
      <w:marTop w:val="0"/>
      <w:marBottom w:val="0"/>
      <w:divBdr>
        <w:top w:val="none" w:sz="0" w:space="0" w:color="auto"/>
        <w:left w:val="none" w:sz="0" w:space="0" w:color="auto"/>
        <w:bottom w:val="none" w:sz="0" w:space="0" w:color="auto"/>
        <w:right w:val="none" w:sz="0" w:space="0" w:color="auto"/>
      </w:divBdr>
    </w:div>
    <w:div w:id="923338668">
      <w:bodyDiv w:val="1"/>
      <w:marLeft w:val="0"/>
      <w:marRight w:val="0"/>
      <w:marTop w:val="0"/>
      <w:marBottom w:val="0"/>
      <w:divBdr>
        <w:top w:val="none" w:sz="0" w:space="0" w:color="auto"/>
        <w:left w:val="none" w:sz="0" w:space="0" w:color="auto"/>
        <w:bottom w:val="none" w:sz="0" w:space="0" w:color="auto"/>
        <w:right w:val="none" w:sz="0" w:space="0" w:color="auto"/>
      </w:divBdr>
    </w:div>
    <w:div w:id="996618499">
      <w:bodyDiv w:val="1"/>
      <w:marLeft w:val="0"/>
      <w:marRight w:val="0"/>
      <w:marTop w:val="0"/>
      <w:marBottom w:val="0"/>
      <w:divBdr>
        <w:top w:val="none" w:sz="0" w:space="0" w:color="auto"/>
        <w:left w:val="none" w:sz="0" w:space="0" w:color="auto"/>
        <w:bottom w:val="none" w:sz="0" w:space="0" w:color="auto"/>
        <w:right w:val="none" w:sz="0" w:space="0" w:color="auto"/>
      </w:divBdr>
      <w:divsChild>
        <w:div w:id="1474062068">
          <w:marLeft w:val="0"/>
          <w:marRight w:val="0"/>
          <w:marTop w:val="0"/>
          <w:marBottom w:val="0"/>
          <w:divBdr>
            <w:top w:val="none" w:sz="0" w:space="0" w:color="auto"/>
            <w:left w:val="none" w:sz="0" w:space="0" w:color="auto"/>
            <w:bottom w:val="none" w:sz="0" w:space="0" w:color="auto"/>
            <w:right w:val="none" w:sz="0" w:space="0" w:color="auto"/>
          </w:divBdr>
        </w:div>
        <w:div w:id="1146319031">
          <w:marLeft w:val="0"/>
          <w:marRight w:val="0"/>
          <w:marTop w:val="0"/>
          <w:marBottom w:val="0"/>
          <w:divBdr>
            <w:top w:val="none" w:sz="0" w:space="0" w:color="auto"/>
            <w:left w:val="none" w:sz="0" w:space="0" w:color="auto"/>
            <w:bottom w:val="none" w:sz="0" w:space="0" w:color="auto"/>
            <w:right w:val="none" w:sz="0" w:space="0" w:color="auto"/>
          </w:divBdr>
        </w:div>
      </w:divsChild>
    </w:div>
    <w:div w:id="1213539182">
      <w:bodyDiv w:val="1"/>
      <w:marLeft w:val="0"/>
      <w:marRight w:val="0"/>
      <w:marTop w:val="0"/>
      <w:marBottom w:val="0"/>
      <w:divBdr>
        <w:top w:val="none" w:sz="0" w:space="0" w:color="auto"/>
        <w:left w:val="none" w:sz="0" w:space="0" w:color="auto"/>
        <w:bottom w:val="none" w:sz="0" w:space="0" w:color="auto"/>
        <w:right w:val="none" w:sz="0" w:space="0" w:color="auto"/>
      </w:divBdr>
    </w:div>
    <w:div w:id="1227642236">
      <w:bodyDiv w:val="1"/>
      <w:marLeft w:val="0"/>
      <w:marRight w:val="0"/>
      <w:marTop w:val="0"/>
      <w:marBottom w:val="0"/>
      <w:divBdr>
        <w:top w:val="none" w:sz="0" w:space="0" w:color="auto"/>
        <w:left w:val="none" w:sz="0" w:space="0" w:color="auto"/>
        <w:bottom w:val="none" w:sz="0" w:space="0" w:color="auto"/>
        <w:right w:val="none" w:sz="0" w:space="0" w:color="auto"/>
      </w:divBdr>
    </w:div>
    <w:div w:id="1240019998">
      <w:bodyDiv w:val="1"/>
      <w:marLeft w:val="0"/>
      <w:marRight w:val="0"/>
      <w:marTop w:val="0"/>
      <w:marBottom w:val="0"/>
      <w:divBdr>
        <w:top w:val="none" w:sz="0" w:space="0" w:color="auto"/>
        <w:left w:val="none" w:sz="0" w:space="0" w:color="auto"/>
        <w:bottom w:val="none" w:sz="0" w:space="0" w:color="auto"/>
        <w:right w:val="none" w:sz="0" w:space="0" w:color="auto"/>
      </w:divBdr>
    </w:div>
    <w:div w:id="1254439642">
      <w:bodyDiv w:val="1"/>
      <w:marLeft w:val="0"/>
      <w:marRight w:val="0"/>
      <w:marTop w:val="0"/>
      <w:marBottom w:val="0"/>
      <w:divBdr>
        <w:top w:val="none" w:sz="0" w:space="0" w:color="auto"/>
        <w:left w:val="none" w:sz="0" w:space="0" w:color="auto"/>
        <w:bottom w:val="none" w:sz="0" w:space="0" w:color="auto"/>
        <w:right w:val="none" w:sz="0" w:space="0" w:color="auto"/>
      </w:divBdr>
    </w:div>
    <w:div w:id="1263342511">
      <w:bodyDiv w:val="1"/>
      <w:marLeft w:val="0"/>
      <w:marRight w:val="0"/>
      <w:marTop w:val="0"/>
      <w:marBottom w:val="0"/>
      <w:divBdr>
        <w:top w:val="none" w:sz="0" w:space="0" w:color="auto"/>
        <w:left w:val="none" w:sz="0" w:space="0" w:color="auto"/>
        <w:bottom w:val="none" w:sz="0" w:space="0" w:color="auto"/>
        <w:right w:val="none" w:sz="0" w:space="0" w:color="auto"/>
      </w:divBdr>
    </w:div>
    <w:div w:id="1287156819">
      <w:bodyDiv w:val="1"/>
      <w:marLeft w:val="0"/>
      <w:marRight w:val="0"/>
      <w:marTop w:val="0"/>
      <w:marBottom w:val="0"/>
      <w:divBdr>
        <w:top w:val="none" w:sz="0" w:space="0" w:color="auto"/>
        <w:left w:val="none" w:sz="0" w:space="0" w:color="auto"/>
        <w:bottom w:val="none" w:sz="0" w:space="0" w:color="auto"/>
        <w:right w:val="none" w:sz="0" w:space="0" w:color="auto"/>
      </w:divBdr>
    </w:div>
    <w:div w:id="1290474786">
      <w:bodyDiv w:val="1"/>
      <w:marLeft w:val="0"/>
      <w:marRight w:val="0"/>
      <w:marTop w:val="0"/>
      <w:marBottom w:val="0"/>
      <w:divBdr>
        <w:top w:val="none" w:sz="0" w:space="0" w:color="auto"/>
        <w:left w:val="none" w:sz="0" w:space="0" w:color="auto"/>
        <w:bottom w:val="none" w:sz="0" w:space="0" w:color="auto"/>
        <w:right w:val="none" w:sz="0" w:space="0" w:color="auto"/>
      </w:divBdr>
    </w:div>
    <w:div w:id="1367364515">
      <w:bodyDiv w:val="1"/>
      <w:marLeft w:val="0"/>
      <w:marRight w:val="0"/>
      <w:marTop w:val="0"/>
      <w:marBottom w:val="0"/>
      <w:divBdr>
        <w:top w:val="none" w:sz="0" w:space="0" w:color="auto"/>
        <w:left w:val="none" w:sz="0" w:space="0" w:color="auto"/>
        <w:bottom w:val="none" w:sz="0" w:space="0" w:color="auto"/>
        <w:right w:val="none" w:sz="0" w:space="0" w:color="auto"/>
      </w:divBdr>
    </w:div>
    <w:div w:id="1403215578">
      <w:bodyDiv w:val="1"/>
      <w:marLeft w:val="0"/>
      <w:marRight w:val="0"/>
      <w:marTop w:val="0"/>
      <w:marBottom w:val="0"/>
      <w:divBdr>
        <w:top w:val="none" w:sz="0" w:space="0" w:color="auto"/>
        <w:left w:val="none" w:sz="0" w:space="0" w:color="auto"/>
        <w:bottom w:val="none" w:sz="0" w:space="0" w:color="auto"/>
        <w:right w:val="none" w:sz="0" w:space="0" w:color="auto"/>
      </w:divBdr>
    </w:div>
    <w:div w:id="1412041673">
      <w:bodyDiv w:val="1"/>
      <w:marLeft w:val="0"/>
      <w:marRight w:val="0"/>
      <w:marTop w:val="0"/>
      <w:marBottom w:val="0"/>
      <w:divBdr>
        <w:top w:val="none" w:sz="0" w:space="0" w:color="auto"/>
        <w:left w:val="none" w:sz="0" w:space="0" w:color="auto"/>
        <w:bottom w:val="none" w:sz="0" w:space="0" w:color="auto"/>
        <w:right w:val="none" w:sz="0" w:space="0" w:color="auto"/>
      </w:divBdr>
    </w:div>
    <w:div w:id="1428575982">
      <w:bodyDiv w:val="1"/>
      <w:marLeft w:val="0"/>
      <w:marRight w:val="0"/>
      <w:marTop w:val="0"/>
      <w:marBottom w:val="0"/>
      <w:divBdr>
        <w:top w:val="none" w:sz="0" w:space="0" w:color="auto"/>
        <w:left w:val="none" w:sz="0" w:space="0" w:color="auto"/>
        <w:bottom w:val="none" w:sz="0" w:space="0" w:color="auto"/>
        <w:right w:val="none" w:sz="0" w:space="0" w:color="auto"/>
      </w:divBdr>
    </w:div>
    <w:div w:id="1446267856">
      <w:bodyDiv w:val="1"/>
      <w:marLeft w:val="0"/>
      <w:marRight w:val="0"/>
      <w:marTop w:val="0"/>
      <w:marBottom w:val="0"/>
      <w:divBdr>
        <w:top w:val="none" w:sz="0" w:space="0" w:color="auto"/>
        <w:left w:val="none" w:sz="0" w:space="0" w:color="auto"/>
        <w:bottom w:val="none" w:sz="0" w:space="0" w:color="auto"/>
        <w:right w:val="none" w:sz="0" w:space="0" w:color="auto"/>
      </w:divBdr>
    </w:div>
    <w:div w:id="1632056640">
      <w:bodyDiv w:val="1"/>
      <w:marLeft w:val="0"/>
      <w:marRight w:val="0"/>
      <w:marTop w:val="0"/>
      <w:marBottom w:val="0"/>
      <w:divBdr>
        <w:top w:val="none" w:sz="0" w:space="0" w:color="auto"/>
        <w:left w:val="none" w:sz="0" w:space="0" w:color="auto"/>
        <w:bottom w:val="none" w:sz="0" w:space="0" w:color="auto"/>
        <w:right w:val="none" w:sz="0" w:space="0" w:color="auto"/>
      </w:divBdr>
    </w:div>
    <w:div w:id="1647201891">
      <w:bodyDiv w:val="1"/>
      <w:marLeft w:val="0"/>
      <w:marRight w:val="0"/>
      <w:marTop w:val="0"/>
      <w:marBottom w:val="0"/>
      <w:divBdr>
        <w:top w:val="none" w:sz="0" w:space="0" w:color="auto"/>
        <w:left w:val="none" w:sz="0" w:space="0" w:color="auto"/>
        <w:bottom w:val="none" w:sz="0" w:space="0" w:color="auto"/>
        <w:right w:val="none" w:sz="0" w:space="0" w:color="auto"/>
      </w:divBdr>
    </w:div>
    <w:div w:id="1730226001">
      <w:bodyDiv w:val="1"/>
      <w:marLeft w:val="0"/>
      <w:marRight w:val="0"/>
      <w:marTop w:val="0"/>
      <w:marBottom w:val="0"/>
      <w:divBdr>
        <w:top w:val="none" w:sz="0" w:space="0" w:color="auto"/>
        <w:left w:val="none" w:sz="0" w:space="0" w:color="auto"/>
        <w:bottom w:val="none" w:sz="0" w:space="0" w:color="auto"/>
        <w:right w:val="none" w:sz="0" w:space="0" w:color="auto"/>
      </w:divBdr>
    </w:div>
    <w:div w:id="1784114315">
      <w:bodyDiv w:val="1"/>
      <w:marLeft w:val="0"/>
      <w:marRight w:val="0"/>
      <w:marTop w:val="0"/>
      <w:marBottom w:val="0"/>
      <w:divBdr>
        <w:top w:val="none" w:sz="0" w:space="0" w:color="auto"/>
        <w:left w:val="none" w:sz="0" w:space="0" w:color="auto"/>
        <w:bottom w:val="none" w:sz="0" w:space="0" w:color="auto"/>
        <w:right w:val="none" w:sz="0" w:space="0" w:color="auto"/>
      </w:divBdr>
    </w:div>
    <w:div w:id="1823884226">
      <w:bodyDiv w:val="1"/>
      <w:marLeft w:val="0"/>
      <w:marRight w:val="0"/>
      <w:marTop w:val="0"/>
      <w:marBottom w:val="0"/>
      <w:divBdr>
        <w:top w:val="none" w:sz="0" w:space="0" w:color="auto"/>
        <w:left w:val="none" w:sz="0" w:space="0" w:color="auto"/>
        <w:bottom w:val="none" w:sz="0" w:space="0" w:color="auto"/>
        <w:right w:val="none" w:sz="0" w:space="0" w:color="auto"/>
      </w:divBdr>
    </w:div>
    <w:div w:id="1851337438">
      <w:bodyDiv w:val="1"/>
      <w:marLeft w:val="0"/>
      <w:marRight w:val="0"/>
      <w:marTop w:val="0"/>
      <w:marBottom w:val="0"/>
      <w:divBdr>
        <w:top w:val="none" w:sz="0" w:space="0" w:color="auto"/>
        <w:left w:val="none" w:sz="0" w:space="0" w:color="auto"/>
        <w:bottom w:val="none" w:sz="0" w:space="0" w:color="auto"/>
        <w:right w:val="none" w:sz="0" w:space="0" w:color="auto"/>
      </w:divBdr>
    </w:div>
    <w:div w:id="2000427166">
      <w:bodyDiv w:val="1"/>
      <w:marLeft w:val="0"/>
      <w:marRight w:val="0"/>
      <w:marTop w:val="0"/>
      <w:marBottom w:val="0"/>
      <w:divBdr>
        <w:top w:val="none" w:sz="0" w:space="0" w:color="auto"/>
        <w:left w:val="none" w:sz="0" w:space="0" w:color="auto"/>
        <w:bottom w:val="none" w:sz="0" w:space="0" w:color="auto"/>
        <w:right w:val="none" w:sz="0" w:space="0" w:color="auto"/>
      </w:divBdr>
    </w:div>
    <w:div w:id="2025668062">
      <w:bodyDiv w:val="1"/>
      <w:marLeft w:val="0"/>
      <w:marRight w:val="0"/>
      <w:marTop w:val="0"/>
      <w:marBottom w:val="0"/>
      <w:divBdr>
        <w:top w:val="none" w:sz="0" w:space="0" w:color="auto"/>
        <w:left w:val="none" w:sz="0" w:space="0" w:color="auto"/>
        <w:bottom w:val="none" w:sz="0" w:space="0" w:color="auto"/>
        <w:right w:val="none" w:sz="0" w:space="0" w:color="auto"/>
      </w:divBdr>
    </w:div>
    <w:div w:id="2035230898">
      <w:bodyDiv w:val="1"/>
      <w:marLeft w:val="0"/>
      <w:marRight w:val="0"/>
      <w:marTop w:val="0"/>
      <w:marBottom w:val="0"/>
      <w:divBdr>
        <w:top w:val="none" w:sz="0" w:space="0" w:color="auto"/>
        <w:left w:val="none" w:sz="0" w:space="0" w:color="auto"/>
        <w:bottom w:val="none" w:sz="0" w:space="0" w:color="auto"/>
        <w:right w:val="none" w:sz="0" w:space="0" w:color="auto"/>
      </w:divBdr>
    </w:div>
    <w:div w:id="206151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styles" Target="styles.xml"/><Relationship Id="rId42" Type="http://schemas.openxmlformats.org/officeDocument/2006/relationships/hyperlink" Target="http://www.jcdecaux.com"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numbering" Target="numbering.xml"/><Relationship Id="rId38" Type="http://schemas.openxmlformats.org/officeDocument/2006/relationships/endnotes" Target="endnotes.xm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hyperlink" Target="http://www.amf-france.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footnotes" Target="footnotes.xml"/><Relationship Id="rId40" Type="http://schemas.openxmlformats.org/officeDocument/2006/relationships/image" Target="media/image2.gif"/><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webSettings" Target="webSettings.xml"/><Relationship Id="rId49"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hyperlink" Target="mailto:arnaud.courtial@jcdecaux.co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settings" Target="settings.xml"/><Relationship Id="rId43" Type="http://schemas.openxmlformats.org/officeDocument/2006/relationships/hyperlink" Target="mailto:agathe.albertini@jcdecaux.com" TargetMode="External"/><Relationship Id="rId48" Type="http://schemas.openxmlformats.org/officeDocument/2006/relationships/footer" Target="footer3.xml"/><Relationship Id="rId8" Type="http://schemas.openxmlformats.org/officeDocument/2006/relationships/customXml" Target="../customXml/item8.xml"/></Relationships>
</file>

<file path=word/_rels/footer3.xml.rels><?xml version="1.0" encoding="UTF-8" standalone="yes"?>
<Relationships xmlns="http://schemas.openxmlformats.org/package/2006/relationships"><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3760E-9D00-43EC-9820-19C8495026E5}">
  <ds:schemaRefs>
    <ds:schemaRef ds:uri="http://schemas.openxmlformats.org/officeDocument/2006/bibliography"/>
  </ds:schemaRefs>
</ds:datastoreItem>
</file>

<file path=customXml/itemProps10.xml><?xml version="1.0" encoding="utf-8"?>
<ds:datastoreItem xmlns:ds="http://schemas.openxmlformats.org/officeDocument/2006/customXml" ds:itemID="{93708D71-7396-4EF0-91BD-65D8B344F753}">
  <ds:schemaRefs>
    <ds:schemaRef ds:uri="http://schemas.openxmlformats.org/officeDocument/2006/bibliography"/>
  </ds:schemaRefs>
</ds:datastoreItem>
</file>

<file path=customXml/itemProps11.xml><?xml version="1.0" encoding="utf-8"?>
<ds:datastoreItem xmlns:ds="http://schemas.openxmlformats.org/officeDocument/2006/customXml" ds:itemID="{4584C03E-D924-46CB-9728-31ED3DD48C26}">
  <ds:schemaRefs>
    <ds:schemaRef ds:uri="http://schemas.openxmlformats.org/officeDocument/2006/bibliography"/>
  </ds:schemaRefs>
</ds:datastoreItem>
</file>

<file path=customXml/itemProps12.xml><?xml version="1.0" encoding="utf-8"?>
<ds:datastoreItem xmlns:ds="http://schemas.openxmlformats.org/officeDocument/2006/customXml" ds:itemID="{2FBFF756-B8B8-4697-96F5-740FECA06AD9}">
  <ds:schemaRefs>
    <ds:schemaRef ds:uri="http://schemas.openxmlformats.org/officeDocument/2006/bibliography"/>
  </ds:schemaRefs>
</ds:datastoreItem>
</file>

<file path=customXml/itemProps13.xml><?xml version="1.0" encoding="utf-8"?>
<ds:datastoreItem xmlns:ds="http://schemas.openxmlformats.org/officeDocument/2006/customXml" ds:itemID="{08255FF1-F2B8-4574-A7DB-8189EA5F85EF}">
  <ds:schemaRefs>
    <ds:schemaRef ds:uri="http://schemas.openxmlformats.org/officeDocument/2006/bibliography"/>
  </ds:schemaRefs>
</ds:datastoreItem>
</file>

<file path=customXml/itemProps14.xml><?xml version="1.0" encoding="utf-8"?>
<ds:datastoreItem xmlns:ds="http://schemas.openxmlformats.org/officeDocument/2006/customXml" ds:itemID="{A2EE838D-0FC4-4BA2-8043-ECEAB6B7F14B}">
  <ds:schemaRefs>
    <ds:schemaRef ds:uri="http://schemas.openxmlformats.org/officeDocument/2006/bibliography"/>
  </ds:schemaRefs>
</ds:datastoreItem>
</file>

<file path=customXml/itemProps15.xml><?xml version="1.0" encoding="utf-8"?>
<ds:datastoreItem xmlns:ds="http://schemas.openxmlformats.org/officeDocument/2006/customXml" ds:itemID="{418BFC45-4571-4814-8D96-0551246367CB}">
  <ds:schemaRefs>
    <ds:schemaRef ds:uri="http://schemas.openxmlformats.org/officeDocument/2006/bibliography"/>
  </ds:schemaRefs>
</ds:datastoreItem>
</file>

<file path=customXml/itemProps16.xml><?xml version="1.0" encoding="utf-8"?>
<ds:datastoreItem xmlns:ds="http://schemas.openxmlformats.org/officeDocument/2006/customXml" ds:itemID="{3EF15918-A225-4F4C-97D6-98F1763B37E3}">
  <ds:schemaRefs>
    <ds:schemaRef ds:uri="http://schemas.openxmlformats.org/officeDocument/2006/bibliography"/>
  </ds:schemaRefs>
</ds:datastoreItem>
</file>

<file path=customXml/itemProps17.xml><?xml version="1.0" encoding="utf-8"?>
<ds:datastoreItem xmlns:ds="http://schemas.openxmlformats.org/officeDocument/2006/customXml" ds:itemID="{D783EAC1-3272-42AE-8B4E-D2D8BE737E48}">
  <ds:schemaRefs>
    <ds:schemaRef ds:uri="http://schemas.openxmlformats.org/officeDocument/2006/bibliography"/>
  </ds:schemaRefs>
</ds:datastoreItem>
</file>

<file path=customXml/itemProps18.xml><?xml version="1.0" encoding="utf-8"?>
<ds:datastoreItem xmlns:ds="http://schemas.openxmlformats.org/officeDocument/2006/customXml" ds:itemID="{4ADEE99E-8B16-4DE9-AA9A-990C2AB42287}">
  <ds:schemaRefs>
    <ds:schemaRef ds:uri="http://schemas.openxmlformats.org/officeDocument/2006/bibliography"/>
  </ds:schemaRefs>
</ds:datastoreItem>
</file>

<file path=customXml/itemProps19.xml><?xml version="1.0" encoding="utf-8"?>
<ds:datastoreItem xmlns:ds="http://schemas.openxmlformats.org/officeDocument/2006/customXml" ds:itemID="{263CF932-1241-4AE6-B793-1EBC495D9D74}">
  <ds:schemaRefs>
    <ds:schemaRef ds:uri="http://schemas.openxmlformats.org/officeDocument/2006/bibliography"/>
  </ds:schemaRefs>
</ds:datastoreItem>
</file>

<file path=customXml/itemProps2.xml><?xml version="1.0" encoding="utf-8"?>
<ds:datastoreItem xmlns:ds="http://schemas.openxmlformats.org/officeDocument/2006/customXml" ds:itemID="{D347F703-2A59-4D3B-9A0F-0B82DE072DCC}">
  <ds:schemaRefs>
    <ds:schemaRef ds:uri="http://schemas.openxmlformats.org/officeDocument/2006/bibliography"/>
  </ds:schemaRefs>
</ds:datastoreItem>
</file>

<file path=customXml/itemProps20.xml><?xml version="1.0" encoding="utf-8"?>
<ds:datastoreItem xmlns:ds="http://schemas.openxmlformats.org/officeDocument/2006/customXml" ds:itemID="{766CA3FC-51A4-4A3A-8914-C4442C038CF5}">
  <ds:schemaRefs>
    <ds:schemaRef ds:uri="http://schemas.openxmlformats.org/officeDocument/2006/bibliography"/>
  </ds:schemaRefs>
</ds:datastoreItem>
</file>

<file path=customXml/itemProps21.xml><?xml version="1.0" encoding="utf-8"?>
<ds:datastoreItem xmlns:ds="http://schemas.openxmlformats.org/officeDocument/2006/customXml" ds:itemID="{209D9015-0BD3-4398-A3B3-FA72CEF38DA8}">
  <ds:schemaRefs>
    <ds:schemaRef ds:uri="http://schemas.openxmlformats.org/officeDocument/2006/bibliography"/>
  </ds:schemaRefs>
</ds:datastoreItem>
</file>

<file path=customXml/itemProps22.xml><?xml version="1.0" encoding="utf-8"?>
<ds:datastoreItem xmlns:ds="http://schemas.openxmlformats.org/officeDocument/2006/customXml" ds:itemID="{EA8BB897-5DF6-4408-81FE-A1488339C676}">
  <ds:schemaRefs>
    <ds:schemaRef ds:uri="http://schemas.openxmlformats.org/officeDocument/2006/bibliography"/>
  </ds:schemaRefs>
</ds:datastoreItem>
</file>

<file path=customXml/itemProps23.xml><?xml version="1.0" encoding="utf-8"?>
<ds:datastoreItem xmlns:ds="http://schemas.openxmlformats.org/officeDocument/2006/customXml" ds:itemID="{1E5599F1-D47D-4B52-A509-20D30EAD8E3F}">
  <ds:schemaRefs>
    <ds:schemaRef ds:uri="http://schemas.openxmlformats.org/officeDocument/2006/bibliography"/>
  </ds:schemaRefs>
</ds:datastoreItem>
</file>

<file path=customXml/itemProps24.xml><?xml version="1.0" encoding="utf-8"?>
<ds:datastoreItem xmlns:ds="http://schemas.openxmlformats.org/officeDocument/2006/customXml" ds:itemID="{8086F9F4-0F01-4FD3-91D2-29F320AB7AAE}">
  <ds:schemaRefs>
    <ds:schemaRef ds:uri="http://schemas.openxmlformats.org/officeDocument/2006/bibliography"/>
  </ds:schemaRefs>
</ds:datastoreItem>
</file>

<file path=customXml/itemProps25.xml><?xml version="1.0" encoding="utf-8"?>
<ds:datastoreItem xmlns:ds="http://schemas.openxmlformats.org/officeDocument/2006/customXml" ds:itemID="{05367332-362F-4CF4-99F4-0A4626EAD9A3}">
  <ds:schemaRefs>
    <ds:schemaRef ds:uri="http://schemas.openxmlformats.org/officeDocument/2006/bibliography"/>
  </ds:schemaRefs>
</ds:datastoreItem>
</file>

<file path=customXml/itemProps26.xml><?xml version="1.0" encoding="utf-8"?>
<ds:datastoreItem xmlns:ds="http://schemas.openxmlformats.org/officeDocument/2006/customXml" ds:itemID="{F66F41E4-7D8E-490B-B228-AE92CFFA442E}">
  <ds:schemaRefs>
    <ds:schemaRef ds:uri="http://schemas.openxmlformats.org/officeDocument/2006/bibliography"/>
  </ds:schemaRefs>
</ds:datastoreItem>
</file>

<file path=customXml/itemProps27.xml><?xml version="1.0" encoding="utf-8"?>
<ds:datastoreItem xmlns:ds="http://schemas.openxmlformats.org/officeDocument/2006/customXml" ds:itemID="{1FF3FB73-6F0E-493C-AE61-59EB7A407C60}">
  <ds:schemaRefs>
    <ds:schemaRef ds:uri="http://schemas.openxmlformats.org/officeDocument/2006/bibliography"/>
  </ds:schemaRefs>
</ds:datastoreItem>
</file>

<file path=customXml/itemProps28.xml><?xml version="1.0" encoding="utf-8"?>
<ds:datastoreItem xmlns:ds="http://schemas.openxmlformats.org/officeDocument/2006/customXml" ds:itemID="{D378EE8F-72F0-4402-9486-936AFC4AE528}">
  <ds:schemaRefs>
    <ds:schemaRef ds:uri="http://schemas.openxmlformats.org/officeDocument/2006/bibliography"/>
  </ds:schemaRefs>
</ds:datastoreItem>
</file>

<file path=customXml/itemProps29.xml><?xml version="1.0" encoding="utf-8"?>
<ds:datastoreItem xmlns:ds="http://schemas.openxmlformats.org/officeDocument/2006/customXml" ds:itemID="{406D9E9B-D096-4548-93BC-EFB6D8FCDCB5}">
  <ds:schemaRefs>
    <ds:schemaRef ds:uri="http://schemas.openxmlformats.org/officeDocument/2006/bibliography"/>
  </ds:schemaRefs>
</ds:datastoreItem>
</file>

<file path=customXml/itemProps3.xml><?xml version="1.0" encoding="utf-8"?>
<ds:datastoreItem xmlns:ds="http://schemas.openxmlformats.org/officeDocument/2006/customXml" ds:itemID="{97C37B3E-DCB2-4EBA-9ACD-90F0A0031A2A}">
  <ds:schemaRefs>
    <ds:schemaRef ds:uri="http://schemas.openxmlformats.org/officeDocument/2006/bibliography"/>
  </ds:schemaRefs>
</ds:datastoreItem>
</file>

<file path=customXml/itemProps30.xml><?xml version="1.0" encoding="utf-8"?>
<ds:datastoreItem xmlns:ds="http://schemas.openxmlformats.org/officeDocument/2006/customXml" ds:itemID="{14F5E2D9-3736-4773-BDA5-02A6A90DE1BA}">
  <ds:schemaRefs>
    <ds:schemaRef ds:uri="http://schemas.openxmlformats.org/officeDocument/2006/bibliography"/>
  </ds:schemaRefs>
</ds:datastoreItem>
</file>

<file path=customXml/itemProps31.xml><?xml version="1.0" encoding="utf-8"?>
<ds:datastoreItem xmlns:ds="http://schemas.openxmlformats.org/officeDocument/2006/customXml" ds:itemID="{DB25D7BB-CA5A-451F-9E6E-DF71749A6CAA}">
  <ds:schemaRefs>
    <ds:schemaRef ds:uri="http://schemas.openxmlformats.org/officeDocument/2006/bibliography"/>
  </ds:schemaRefs>
</ds:datastoreItem>
</file>

<file path=customXml/itemProps32.xml><?xml version="1.0" encoding="utf-8"?>
<ds:datastoreItem xmlns:ds="http://schemas.openxmlformats.org/officeDocument/2006/customXml" ds:itemID="{4F4273C4-F71A-4C9F-A257-F84A9A32CB1D}">
  <ds:schemaRefs>
    <ds:schemaRef ds:uri="http://schemas.openxmlformats.org/officeDocument/2006/bibliography"/>
  </ds:schemaRefs>
</ds:datastoreItem>
</file>

<file path=customXml/itemProps4.xml><?xml version="1.0" encoding="utf-8"?>
<ds:datastoreItem xmlns:ds="http://schemas.openxmlformats.org/officeDocument/2006/customXml" ds:itemID="{905EA242-56DB-4B51-AC4C-E155D63E1220}">
  <ds:schemaRefs>
    <ds:schemaRef ds:uri="http://schemas.openxmlformats.org/officeDocument/2006/bibliography"/>
  </ds:schemaRefs>
</ds:datastoreItem>
</file>

<file path=customXml/itemProps5.xml><?xml version="1.0" encoding="utf-8"?>
<ds:datastoreItem xmlns:ds="http://schemas.openxmlformats.org/officeDocument/2006/customXml" ds:itemID="{71440005-55B1-4EC1-AA5F-6A69557CE29F}">
  <ds:schemaRefs>
    <ds:schemaRef ds:uri="http://schemas.openxmlformats.org/officeDocument/2006/bibliography"/>
  </ds:schemaRefs>
</ds:datastoreItem>
</file>

<file path=customXml/itemProps6.xml><?xml version="1.0" encoding="utf-8"?>
<ds:datastoreItem xmlns:ds="http://schemas.openxmlformats.org/officeDocument/2006/customXml" ds:itemID="{46FCC9F4-A1B2-4C1A-AD64-9B6EFDA04921}">
  <ds:schemaRefs>
    <ds:schemaRef ds:uri="http://schemas.openxmlformats.org/officeDocument/2006/bibliography"/>
  </ds:schemaRefs>
</ds:datastoreItem>
</file>

<file path=customXml/itemProps7.xml><?xml version="1.0" encoding="utf-8"?>
<ds:datastoreItem xmlns:ds="http://schemas.openxmlformats.org/officeDocument/2006/customXml" ds:itemID="{3E3C7CBB-7705-46F2-A7FF-FBAE8B47C80C}">
  <ds:schemaRefs>
    <ds:schemaRef ds:uri="http://schemas.openxmlformats.org/officeDocument/2006/bibliography"/>
  </ds:schemaRefs>
</ds:datastoreItem>
</file>

<file path=customXml/itemProps8.xml><?xml version="1.0" encoding="utf-8"?>
<ds:datastoreItem xmlns:ds="http://schemas.openxmlformats.org/officeDocument/2006/customXml" ds:itemID="{F4D8A1DB-E787-4215-B23B-F45CE8A4D033}">
  <ds:schemaRefs>
    <ds:schemaRef ds:uri="http://schemas.openxmlformats.org/officeDocument/2006/bibliography"/>
  </ds:schemaRefs>
</ds:datastoreItem>
</file>

<file path=customXml/itemProps9.xml><?xml version="1.0" encoding="utf-8"?>
<ds:datastoreItem xmlns:ds="http://schemas.openxmlformats.org/officeDocument/2006/customXml" ds:itemID="{02EC4552-B1F8-4293-82E5-BBC9FDB90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4412</Words>
  <Characters>25152</Characters>
  <Application>Microsoft Office Word</Application>
  <DocSecurity>0</DocSecurity>
  <Lines>209</Lines>
  <Paragraphs>59</Paragraphs>
  <ScaleCrop>false</ScaleCrop>
  <HeadingPairs>
    <vt:vector size="8" baseType="variant">
      <vt:variant>
        <vt:lpstr>Titolo</vt:lpstr>
      </vt:variant>
      <vt:variant>
        <vt:i4>1</vt:i4>
      </vt:variant>
      <vt:variant>
        <vt:lpstr>Titre</vt:lpstr>
      </vt:variant>
      <vt:variant>
        <vt:i4>1</vt:i4>
      </vt:variant>
      <vt:variant>
        <vt:lpstr>Title</vt:lpstr>
      </vt:variant>
      <vt:variant>
        <vt:i4>1</vt:i4>
      </vt:variant>
      <vt:variant>
        <vt:lpstr>Título</vt:lpstr>
      </vt:variant>
      <vt:variant>
        <vt:i4>1</vt:i4>
      </vt:variant>
    </vt:vector>
  </HeadingPairs>
  <TitlesOfParts>
    <vt:vector size="4" baseType="lpstr">
      <vt:lpstr/>
      <vt:lpstr/>
      <vt:lpstr/>
      <vt:lpstr>Communiqué de Presse conjoint</vt:lpstr>
    </vt:vector>
  </TitlesOfParts>
  <LinksUpToDate>false</LinksUpToDate>
  <CharactersWithSpaces>29505</CharactersWithSpaces>
  <SharedDoc>false</SharedDoc>
  <HyperlinkBase/>
  <HLinks>
    <vt:vector size="24" baseType="variant">
      <vt:variant>
        <vt:i4>786525</vt:i4>
      </vt:variant>
      <vt:variant>
        <vt:i4>23283</vt:i4>
      </vt:variant>
      <vt:variant>
        <vt:i4>1025</vt:i4>
      </vt:variant>
      <vt:variant>
        <vt:i4>1</vt:i4>
      </vt:variant>
      <vt:variant>
        <vt:lpwstr>Footer_en</vt:lpwstr>
      </vt:variant>
      <vt:variant>
        <vt:lpwstr/>
      </vt:variant>
      <vt:variant>
        <vt:i4>11</vt:i4>
      </vt:variant>
      <vt:variant>
        <vt:i4>-1</vt:i4>
      </vt:variant>
      <vt:variant>
        <vt:i4>1026</vt:i4>
      </vt:variant>
      <vt:variant>
        <vt:i4>1</vt:i4>
      </vt:variant>
      <vt:variant>
        <vt:lpwstr>LOGO</vt:lpwstr>
      </vt:variant>
      <vt:variant>
        <vt:lpwstr/>
      </vt:variant>
      <vt:variant>
        <vt:i4>11</vt:i4>
      </vt:variant>
      <vt:variant>
        <vt:i4>-1</vt:i4>
      </vt:variant>
      <vt:variant>
        <vt:i4>1032</vt:i4>
      </vt:variant>
      <vt:variant>
        <vt:i4>1</vt:i4>
      </vt:variant>
      <vt:variant>
        <vt:lpwstr>LOGO</vt:lpwstr>
      </vt:variant>
      <vt:variant>
        <vt:lpwstr/>
      </vt:variant>
      <vt:variant>
        <vt:i4>8323183</vt:i4>
      </vt:variant>
      <vt:variant>
        <vt:i4>-1</vt:i4>
      </vt:variant>
      <vt:variant>
        <vt:i4>1035</vt:i4>
      </vt:variant>
      <vt:variant>
        <vt:i4>1</vt:i4>
      </vt:variant>
      <vt:variant>
        <vt:lpwstr>55-Pays-en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2019-07-25T12:39:00Z</dcterms:created>
  <dcterms:modified xsi:type="dcterms:W3CDTF">2019-07-25T13:06:00Z</dcterms:modified>
</cp:coreProperties>
</file>