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9190" w14:textId="21245A96" w:rsidR="009F2166" w:rsidRDefault="003415C1" w:rsidP="00A82F9E">
      <w:pPr>
        <w:ind w:left="1134"/>
        <w:rPr>
          <w:rFonts w:ascii="Arial" w:hAnsi="Arial" w:cs="Arial"/>
          <w:sz w:val="18"/>
          <w:szCs w:val="18"/>
          <w:lang w:val="fr-FR"/>
        </w:rPr>
      </w:pPr>
      <w:r w:rsidRPr="00DE3802">
        <w:rPr>
          <w:rFonts w:ascii="Arial" w:hAnsi="Arial" w:cs="Arial"/>
          <w:noProof/>
          <w:sz w:val="18"/>
          <w:szCs w:val="18"/>
          <w:lang w:eastAsia="fr-FR"/>
        </w:rPr>
        <w:drawing>
          <wp:anchor distT="0" distB="0" distL="114300" distR="114300" simplePos="0" relativeHeight="251658240" behindDoc="0" locked="0" layoutInCell="1" allowOverlap="1" wp14:anchorId="4BF27263" wp14:editId="703A1B12">
            <wp:simplePos x="0" y="0"/>
            <wp:positionH relativeFrom="column">
              <wp:posOffset>704215</wp:posOffset>
            </wp:positionH>
            <wp:positionV relativeFrom="page">
              <wp:posOffset>326390</wp:posOffset>
            </wp:positionV>
            <wp:extent cx="2332990" cy="975360"/>
            <wp:effectExtent l="0" t="0" r="0" b="0"/>
            <wp:wrapNone/>
            <wp:docPr id="3"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2990" cy="975360"/>
                    </a:xfrm>
                    <a:prstGeom prst="rect">
                      <a:avLst/>
                    </a:prstGeom>
                    <a:noFill/>
                  </pic:spPr>
                </pic:pic>
              </a:graphicData>
            </a:graphic>
          </wp:anchor>
        </w:drawing>
      </w:r>
    </w:p>
    <w:p w14:paraId="24035CA6" w14:textId="77777777" w:rsidR="00A82F9E" w:rsidRDefault="00A82F9E" w:rsidP="00A82F9E">
      <w:pPr>
        <w:ind w:left="1134"/>
        <w:rPr>
          <w:rFonts w:ascii="Arial" w:hAnsi="Arial" w:cs="Arial"/>
          <w:sz w:val="18"/>
          <w:szCs w:val="18"/>
          <w:lang w:val="fr-FR"/>
        </w:rPr>
      </w:pPr>
    </w:p>
    <w:p w14:paraId="72603FBF" w14:textId="77777777" w:rsidR="00A82F9E" w:rsidRPr="00A82F9E" w:rsidRDefault="00A82F9E" w:rsidP="00A82F9E">
      <w:pPr>
        <w:ind w:left="1134"/>
        <w:rPr>
          <w:rFonts w:ascii="Arial" w:hAnsi="Arial" w:cs="Arial"/>
          <w:sz w:val="18"/>
          <w:szCs w:val="18"/>
          <w:lang w:val="fr-FR"/>
        </w:rPr>
      </w:pPr>
    </w:p>
    <w:p w14:paraId="6F85744B" w14:textId="77777777" w:rsidR="00A82F9E" w:rsidRDefault="00A82F9E" w:rsidP="00A82F9E">
      <w:pPr>
        <w:pStyle w:val="s9"/>
        <w:spacing w:before="0" w:beforeAutospacing="0" w:after="0" w:afterAutospacing="0"/>
        <w:rPr>
          <w:rFonts w:ascii="Arial" w:hAnsi="Arial" w:cs="Arial"/>
          <w:b/>
          <w:bCs/>
          <w:sz w:val="21"/>
          <w:szCs w:val="21"/>
        </w:rPr>
      </w:pPr>
    </w:p>
    <w:p w14:paraId="6D28E02B" w14:textId="77777777" w:rsidR="00007C04" w:rsidRDefault="00007C04" w:rsidP="00A82F9E">
      <w:pPr>
        <w:pStyle w:val="s9"/>
        <w:spacing w:before="0" w:beforeAutospacing="0" w:after="0" w:afterAutospacing="0"/>
        <w:rPr>
          <w:rFonts w:ascii="Arial" w:hAnsi="Arial" w:cs="Arial"/>
          <w:b/>
          <w:bCs/>
          <w:sz w:val="21"/>
          <w:szCs w:val="21"/>
        </w:rPr>
      </w:pPr>
    </w:p>
    <w:p w14:paraId="60E2DE46" w14:textId="5AA462DB" w:rsidR="00E264EB" w:rsidRPr="00AF5A4D" w:rsidRDefault="00E264EB" w:rsidP="00E264EB">
      <w:pPr>
        <w:ind w:left="1134"/>
        <w:jc w:val="center"/>
        <w:rPr>
          <w:rFonts w:ascii="Arial" w:hAnsi="Arial" w:cs="Arial"/>
          <w:b/>
          <w:bCs/>
          <w:color w:val="163B5C"/>
          <w:sz w:val="36"/>
          <w:szCs w:val="36"/>
          <w:lang w:val="it-IT" w:eastAsia="fr-FR"/>
        </w:rPr>
      </w:pPr>
      <w:r>
        <w:rPr>
          <w:noProof/>
        </w:rPr>
        <w:drawing>
          <wp:anchor distT="0" distB="0" distL="114300" distR="114300" simplePos="0" relativeHeight="251658241" behindDoc="0" locked="0" layoutInCell="1" allowOverlap="1" wp14:anchorId="592FE92F" wp14:editId="66353A18">
            <wp:simplePos x="0" y="0"/>
            <wp:positionH relativeFrom="column">
              <wp:posOffset>-842645</wp:posOffset>
            </wp:positionH>
            <wp:positionV relativeFrom="page">
              <wp:posOffset>1885950</wp:posOffset>
            </wp:positionV>
            <wp:extent cx="1486535" cy="8782050"/>
            <wp:effectExtent l="0" t="0" r="0" b="0"/>
            <wp:wrapNone/>
            <wp:docPr id="12081870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535" cy="878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945" w:rsidRPr="00AF5A4D">
        <w:rPr>
          <w:rFonts w:ascii="Arial" w:hAnsi="Arial" w:cs="Arial"/>
          <w:b/>
          <w:bCs/>
          <w:color w:val="163B5C"/>
          <w:sz w:val="36"/>
          <w:szCs w:val="36"/>
          <w:lang w:val="it-IT" w:eastAsia="fr-FR"/>
        </w:rPr>
        <w:t xml:space="preserve">Fatturato </w:t>
      </w:r>
      <w:r w:rsidR="005756C4">
        <w:rPr>
          <w:rFonts w:ascii="Arial" w:hAnsi="Arial" w:cs="Arial"/>
          <w:b/>
          <w:bCs/>
          <w:color w:val="163B5C"/>
          <w:sz w:val="36"/>
          <w:szCs w:val="36"/>
          <w:lang w:val="it-IT" w:eastAsia="fr-FR"/>
        </w:rPr>
        <w:t xml:space="preserve">del </w:t>
      </w:r>
      <w:r w:rsidR="00AD6945" w:rsidRPr="00AF5A4D">
        <w:rPr>
          <w:rFonts w:ascii="Arial" w:hAnsi="Arial" w:cs="Arial"/>
          <w:b/>
          <w:bCs/>
          <w:color w:val="163B5C"/>
          <w:sz w:val="36"/>
          <w:szCs w:val="36"/>
          <w:lang w:val="it-IT" w:eastAsia="fr-FR"/>
        </w:rPr>
        <w:t>primo</w:t>
      </w:r>
      <w:r w:rsidR="00704B25" w:rsidRPr="00AF5A4D">
        <w:rPr>
          <w:rFonts w:ascii="Arial" w:hAnsi="Arial" w:cs="Arial"/>
          <w:b/>
          <w:bCs/>
          <w:color w:val="163B5C"/>
          <w:sz w:val="36"/>
          <w:szCs w:val="36"/>
          <w:lang w:val="it-IT" w:eastAsia="fr-FR"/>
        </w:rPr>
        <w:t xml:space="preserve"> </w:t>
      </w:r>
      <w:r w:rsidRPr="00AF5A4D">
        <w:rPr>
          <w:rFonts w:ascii="Arial" w:hAnsi="Arial" w:cs="Arial"/>
          <w:b/>
          <w:bCs/>
          <w:color w:val="163B5C"/>
          <w:sz w:val="36"/>
          <w:szCs w:val="36"/>
          <w:lang w:val="it-IT" w:eastAsia="fr-FR"/>
        </w:rPr>
        <w:t>trimestre 2025</w:t>
      </w:r>
    </w:p>
    <w:p w14:paraId="7A761A43" w14:textId="0447537F" w:rsidR="00E264EB" w:rsidRDefault="00E264EB" w:rsidP="00E264EB">
      <w:pPr>
        <w:ind w:left="1134"/>
        <w:jc w:val="both"/>
        <w:rPr>
          <w:rFonts w:ascii="Arial" w:hAnsi="Arial" w:cs="Arial"/>
          <w:b/>
          <w:bCs/>
          <w:sz w:val="18"/>
          <w:szCs w:val="18"/>
          <w:lang w:val="it-IT"/>
        </w:rPr>
      </w:pPr>
    </w:p>
    <w:p w14:paraId="09CFA311" w14:textId="77777777" w:rsidR="00E918C6" w:rsidRPr="00AF5A4D" w:rsidRDefault="00E918C6" w:rsidP="00E264EB">
      <w:pPr>
        <w:ind w:left="1134"/>
        <w:jc w:val="both"/>
        <w:rPr>
          <w:rFonts w:ascii="Arial" w:hAnsi="Arial" w:cs="Arial"/>
          <w:b/>
          <w:bCs/>
          <w:sz w:val="18"/>
          <w:szCs w:val="18"/>
          <w:lang w:val="it-IT"/>
        </w:rPr>
      </w:pPr>
    </w:p>
    <w:p w14:paraId="1FDA7FB1" w14:textId="78613EE3" w:rsidR="00E264EB" w:rsidRPr="00AF5A4D" w:rsidRDefault="00E264EB" w:rsidP="00E264EB">
      <w:pPr>
        <w:jc w:val="both"/>
        <w:rPr>
          <w:rFonts w:ascii="Arial" w:hAnsi="Arial" w:cs="Arial"/>
          <w:b/>
          <w:bCs/>
          <w:sz w:val="12"/>
          <w:szCs w:val="12"/>
          <w:lang w:val="it-IT"/>
        </w:rPr>
      </w:pPr>
    </w:p>
    <w:p w14:paraId="1C616CD0" w14:textId="77777777" w:rsidR="00E264EB" w:rsidRPr="00AF5A4D" w:rsidRDefault="00E264EB" w:rsidP="00E264EB">
      <w:pPr>
        <w:ind w:left="1134"/>
        <w:jc w:val="both"/>
        <w:rPr>
          <w:rFonts w:ascii="Arial" w:hAnsi="Arial"/>
          <w:b/>
          <w:bCs/>
          <w:sz w:val="20"/>
          <w:lang w:val="it-IT"/>
        </w:rPr>
      </w:pPr>
      <w:r w:rsidRPr="00AF5A4D">
        <w:rPr>
          <w:rFonts w:ascii="Arial" w:hAnsi="Arial"/>
          <w:b/>
          <w:bCs/>
          <w:sz w:val="20"/>
          <w:lang w:val="it-IT"/>
        </w:rPr>
        <w:t>Parigi, 6 maggio 2025</w:t>
      </w:r>
    </w:p>
    <w:p w14:paraId="6098344A" w14:textId="77777777" w:rsidR="00E264EB" w:rsidRPr="00AF5A4D" w:rsidRDefault="00E264EB" w:rsidP="00E264EB">
      <w:pPr>
        <w:ind w:left="1134"/>
        <w:jc w:val="both"/>
        <w:rPr>
          <w:rFonts w:ascii="Arial" w:hAnsi="Arial"/>
          <w:bCs/>
          <w:i/>
          <w:iCs/>
          <w:sz w:val="14"/>
          <w:szCs w:val="14"/>
          <w:lang w:val="it-IT"/>
        </w:rPr>
      </w:pPr>
    </w:p>
    <w:p w14:paraId="4A1AD4B9" w14:textId="77777777" w:rsidR="00E264EB" w:rsidRPr="00AF5A4D" w:rsidRDefault="00E264EB" w:rsidP="00E264EB">
      <w:pPr>
        <w:ind w:left="1134"/>
        <w:jc w:val="both"/>
        <w:rPr>
          <w:rFonts w:ascii="Arial" w:hAnsi="Arial"/>
          <w:b/>
          <w:sz w:val="8"/>
          <w:szCs w:val="8"/>
          <w:lang w:val="it-IT"/>
        </w:rPr>
      </w:pPr>
    </w:p>
    <w:p w14:paraId="025F8EE2" w14:textId="77777777" w:rsidR="00E264EB" w:rsidRPr="00AF5A4D" w:rsidRDefault="00E264EB" w:rsidP="00E264EB">
      <w:pPr>
        <w:ind w:left="1134"/>
        <w:jc w:val="both"/>
        <w:rPr>
          <w:rFonts w:ascii="Arial" w:hAnsi="Arial"/>
          <w:b/>
          <w:sz w:val="8"/>
          <w:szCs w:val="8"/>
          <w:lang w:val="it-IT"/>
        </w:rPr>
      </w:pPr>
    </w:p>
    <w:tbl>
      <w:tblPr>
        <w:tblStyle w:val="Grigliatabella"/>
        <w:tblW w:w="0" w:type="auto"/>
        <w:tblInd w:w="1134" w:type="dxa"/>
        <w:tblBorders>
          <w:top w:val="single" w:sz="8" w:space="0" w:color="163B5C"/>
          <w:left w:val="single" w:sz="8" w:space="0" w:color="163B5C"/>
          <w:bottom w:val="single" w:sz="8" w:space="0" w:color="163B5C"/>
          <w:right w:val="single" w:sz="8" w:space="0" w:color="163B5C"/>
          <w:insideH w:val="none" w:sz="0" w:space="0" w:color="auto"/>
          <w:insideV w:val="none" w:sz="0" w:space="0" w:color="auto"/>
        </w:tblBorders>
        <w:tblLook w:val="04A0" w:firstRow="1" w:lastRow="0" w:firstColumn="1" w:lastColumn="0" w:noHBand="0" w:noVBand="1"/>
      </w:tblPr>
      <w:tblGrid>
        <w:gridCol w:w="7919"/>
      </w:tblGrid>
      <w:tr w:rsidR="00E264EB" w:rsidRPr="0092785D" w14:paraId="1E741CBC" w14:textId="77777777" w:rsidTr="00D472E1">
        <w:trPr>
          <w:trHeight w:val="2222"/>
        </w:trPr>
        <w:tc>
          <w:tcPr>
            <w:tcW w:w="7919" w:type="dxa"/>
          </w:tcPr>
          <w:p w14:paraId="26F92721" w14:textId="7BCD2713" w:rsidR="00E264EB" w:rsidRPr="00AD6945" w:rsidRDefault="00E264EB">
            <w:pPr>
              <w:adjustRightInd w:val="0"/>
              <w:snapToGrid w:val="0"/>
              <w:spacing w:after="120" w:line="276" w:lineRule="auto"/>
              <w:jc w:val="both"/>
              <w:rPr>
                <w:rFonts w:ascii="Arial" w:hAnsi="Arial" w:cs="Arial"/>
                <w:b/>
                <w:sz w:val="2"/>
                <w:szCs w:val="2"/>
                <w:lang w:val="it-IT"/>
              </w:rPr>
            </w:pPr>
          </w:p>
          <w:p w14:paraId="3F5EEB37" w14:textId="20DC4D5A" w:rsidR="00E264EB" w:rsidRPr="00AD6945" w:rsidRDefault="004B374D">
            <w:pPr>
              <w:adjustRightInd w:val="0"/>
              <w:snapToGrid w:val="0"/>
              <w:spacing w:after="40"/>
              <w:jc w:val="both"/>
              <w:rPr>
                <w:rFonts w:ascii="Arial" w:hAnsi="Arial" w:cs="Arial"/>
                <w:b/>
                <w:color w:val="163B5C"/>
                <w:sz w:val="20"/>
                <w:lang w:val="it-IT"/>
              </w:rPr>
            </w:pPr>
            <w:r w:rsidRPr="00AD6945">
              <w:rPr>
                <w:rFonts w:ascii="Arial" w:hAnsi="Arial" w:cs="Arial"/>
                <w:b/>
                <w:color w:val="163B5C"/>
                <w:sz w:val="20"/>
                <w:lang w:val="it-IT"/>
              </w:rPr>
              <w:t xml:space="preserve">Forte </w:t>
            </w:r>
            <w:r w:rsidR="00E264EB" w:rsidRPr="00AD6945">
              <w:rPr>
                <w:rFonts w:ascii="Arial" w:hAnsi="Arial" w:cs="Arial"/>
                <w:b/>
                <w:color w:val="163B5C"/>
                <w:sz w:val="20"/>
                <w:lang w:val="it-IT"/>
              </w:rPr>
              <w:t xml:space="preserve">crescita </w:t>
            </w:r>
            <w:r w:rsidR="00AD6945">
              <w:rPr>
                <w:rFonts w:ascii="Arial" w:hAnsi="Arial" w:cs="Arial"/>
                <w:b/>
                <w:color w:val="163B5C"/>
                <w:sz w:val="20"/>
                <w:lang w:val="it-IT"/>
              </w:rPr>
              <w:t>del fatturato</w:t>
            </w:r>
            <w:r w:rsidR="00E264EB" w:rsidRPr="00AD6945">
              <w:rPr>
                <w:rFonts w:ascii="Arial" w:hAnsi="Arial" w:cs="Arial"/>
                <w:b/>
                <w:color w:val="163B5C"/>
                <w:sz w:val="20"/>
                <w:lang w:val="it-IT"/>
              </w:rPr>
              <w:t xml:space="preserve"> nel </w:t>
            </w:r>
            <w:r w:rsidR="00704B25" w:rsidRPr="00AD6945">
              <w:rPr>
                <w:rFonts w:ascii="Arial" w:hAnsi="Arial" w:cs="Arial"/>
                <w:b/>
                <w:color w:val="163B5C"/>
                <w:sz w:val="20"/>
                <w:lang w:val="it-IT"/>
              </w:rPr>
              <w:t xml:space="preserve">primo trimestre del </w:t>
            </w:r>
            <w:r w:rsidR="00E264EB" w:rsidRPr="00AD6945">
              <w:rPr>
                <w:rFonts w:ascii="Arial" w:hAnsi="Arial" w:cs="Arial"/>
                <w:b/>
                <w:color w:val="163B5C"/>
                <w:sz w:val="20"/>
                <w:lang w:val="it-IT"/>
              </w:rPr>
              <w:t>2025</w:t>
            </w:r>
          </w:p>
          <w:p w14:paraId="0EADB3C5" w14:textId="0939C460" w:rsidR="00E918C6" w:rsidRPr="00AD6945" w:rsidRDefault="00E918C6" w:rsidP="00E918C6">
            <w:pPr>
              <w:numPr>
                <w:ilvl w:val="0"/>
                <w:numId w:val="31"/>
              </w:numPr>
              <w:adjustRightInd w:val="0"/>
              <w:snapToGrid w:val="0"/>
              <w:spacing w:after="80"/>
              <w:ind w:left="714" w:hanging="357"/>
              <w:jc w:val="both"/>
              <w:rPr>
                <w:rFonts w:ascii="Arial" w:hAnsi="Arial" w:cs="Arial"/>
                <w:b/>
                <w:bCs/>
                <w:spacing w:val="-4"/>
                <w:sz w:val="20"/>
                <w:lang w:val="it-IT"/>
              </w:rPr>
            </w:pPr>
            <w:r>
              <w:rPr>
                <w:rFonts w:ascii="Arial" w:hAnsi="Arial" w:cs="Arial"/>
                <w:sz w:val="20"/>
                <w:lang w:val="it-IT"/>
              </w:rPr>
              <w:t>F</w:t>
            </w:r>
            <w:r w:rsidRPr="00AD6945">
              <w:rPr>
                <w:rFonts w:ascii="Arial" w:hAnsi="Arial" w:cs="Arial"/>
                <w:sz w:val="20"/>
                <w:lang w:val="it-IT"/>
              </w:rPr>
              <w:t xml:space="preserve">atturato di </w:t>
            </w:r>
            <w:r w:rsidRPr="00AD6945">
              <w:rPr>
                <w:rFonts w:ascii="Arial" w:hAnsi="Arial" w:cs="Arial"/>
                <w:b/>
                <w:bCs/>
                <w:sz w:val="20"/>
                <w:lang w:val="it-IT"/>
              </w:rPr>
              <w:t xml:space="preserve">858 milioni di euro, </w:t>
            </w:r>
            <w:r>
              <w:rPr>
                <w:rFonts w:ascii="Arial" w:hAnsi="Arial" w:cs="Arial"/>
                <w:b/>
                <w:bCs/>
                <w:sz w:val="20"/>
                <w:lang w:val="it-IT"/>
              </w:rPr>
              <w:t>r</w:t>
            </w:r>
            <w:r w:rsidRPr="00AD6945">
              <w:rPr>
                <w:rFonts w:ascii="Arial" w:hAnsi="Arial" w:cs="Arial"/>
                <w:b/>
                <w:bCs/>
                <w:sz w:val="20"/>
                <w:lang w:val="it-IT"/>
              </w:rPr>
              <w:t>ecord per un primo trimestre</w:t>
            </w:r>
          </w:p>
          <w:p w14:paraId="37727FBD" w14:textId="3C5700D4" w:rsidR="00E264EB" w:rsidRPr="00AD6945" w:rsidRDefault="00E264EB" w:rsidP="00E264EB">
            <w:pPr>
              <w:numPr>
                <w:ilvl w:val="0"/>
                <w:numId w:val="31"/>
              </w:numPr>
              <w:adjustRightInd w:val="0"/>
              <w:snapToGrid w:val="0"/>
              <w:spacing w:after="80"/>
              <w:ind w:left="714" w:hanging="357"/>
              <w:jc w:val="both"/>
              <w:rPr>
                <w:rFonts w:ascii="Arial" w:hAnsi="Arial" w:cs="Arial"/>
                <w:sz w:val="20"/>
                <w:lang w:val="it-IT"/>
              </w:rPr>
            </w:pPr>
            <w:r w:rsidRPr="00AD6945">
              <w:rPr>
                <w:rFonts w:ascii="Arial" w:hAnsi="Arial" w:cs="Arial"/>
                <w:b/>
                <w:bCs/>
                <w:sz w:val="20"/>
                <w:lang w:val="it-IT"/>
              </w:rPr>
              <w:t xml:space="preserve">+7,0% </w:t>
            </w:r>
            <w:r w:rsidRPr="00AD6945">
              <w:rPr>
                <w:rFonts w:ascii="Arial" w:hAnsi="Arial" w:cs="Arial"/>
                <w:sz w:val="20"/>
                <w:lang w:val="it-IT"/>
              </w:rPr>
              <w:t xml:space="preserve">di crescita </w:t>
            </w:r>
            <w:r w:rsidR="00AD6945" w:rsidRPr="00AD6945">
              <w:rPr>
                <w:rFonts w:ascii="Arial" w:hAnsi="Arial" w:cs="Arial"/>
                <w:sz w:val="20"/>
                <w:lang w:val="it-IT"/>
              </w:rPr>
              <w:t>del fatturato</w:t>
            </w:r>
            <w:r w:rsidRPr="00AD6945">
              <w:rPr>
                <w:rFonts w:ascii="Arial" w:hAnsi="Arial" w:cs="Arial"/>
                <w:sz w:val="20"/>
                <w:lang w:val="it-IT"/>
              </w:rPr>
              <w:t xml:space="preserve"> pubblicat</w:t>
            </w:r>
            <w:r w:rsidR="00AD6945">
              <w:rPr>
                <w:rFonts w:ascii="Arial" w:hAnsi="Arial" w:cs="Arial"/>
                <w:sz w:val="20"/>
                <w:lang w:val="it-IT"/>
              </w:rPr>
              <w:t>o</w:t>
            </w:r>
          </w:p>
          <w:p w14:paraId="3E9B3892" w14:textId="0E47BA53" w:rsidR="00E264EB" w:rsidRPr="00E918C6" w:rsidRDefault="00E264EB" w:rsidP="00E264EB">
            <w:pPr>
              <w:numPr>
                <w:ilvl w:val="0"/>
                <w:numId w:val="31"/>
              </w:numPr>
              <w:adjustRightInd w:val="0"/>
              <w:snapToGrid w:val="0"/>
              <w:spacing w:after="80"/>
              <w:ind w:left="714" w:hanging="357"/>
              <w:jc w:val="both"/>
              <w:rPr>
                <w:rFonts w:ascii="Arial" w:hAnsi="Arial" w:cs="Arial"/>
                <w:b/>
                <w:bCs/>
                <w:spacing w:val="-4"/>
                <w:sz w:val="20"/>
                <w:lang w:val="it-IT"/>
              </w:rPr>
            </w:pPr>
            <w:r w:rsidRPr="00AD6945">
              <w:rPr>
                <w:rFonts w:ascii="Arial" w:hAnsi="Arial" w:cs="Arial"/>
                <w:b/>
                <w:bCs/>
                <w:sz w:val="20"/>
                <w:lang w:val="it-IT"/>
              </w:rPr>
              <w:t xml:space="preserve">+5,5% </w:t>
            </w:r>
            <w:r w:rsidRPr="00AD6945">
              <w:rPr>
                <w:rFonts w:ascii="Arial" w:hAnsi="Arial" w:cs="Arial"/>
                <w:sz w:val="20"/>
                <w:lang w:val="it-IT"/>
              </w:rPr>
              <w:t>di crescita organica del</w:t>
            </w:r>
            <w:r w:rsidR="00AD6945">
              <w:rPr>
                <w:rFonts w:ascii="Arial" w:hAnsi="Arial" w:cs="Arial"/>
                <w:sz w:val="20"/>
                <w:lang w:val="it-IT"/>
              </w:rPr>
              <w:t xml:space="preserve"> fatturato</w:t>
            </w:r>
            <w:r w:rsidRPr="00AD6945">
              <w:rPr>
                <w:rFonts w:ascii="Arial" w:hAnsi="Arial" w:cs="Arial"/>
                <w:sz w:val="20"/>
                <w:lang w:val="it-IT"/>
              </w:rPr>
              <w:t xml:space="preserve">, </w:t>
            </w:r>
            <w:r w:rsidR="00AD6945">
              <w:rPr>
                <w:rFonts w:ascii="Arial" w:hAnsi="Arial" w:cs="Arial"/>
                <w:sz w:val="20"/>
                <w:lang w:val="it-IT"/>
              </w:rPr>
              <w:t xml:space="preserve">dato </w:t>
            </w:r>
            <w:r w:rsidRPr="00AD6945">
              <w:rPr>
                <w:rFonts w:ascii="Arial" w:hAnsi="Arial" w:cs="Arial"/>
                <w:sz w:val="20"/>
                <w:lang w:val="it-IT"/>
              </w:rPr>
              <w:t>superiore alle nostre aspettative</w:t>
            </w:r>
          </w:p>
          <w:p w14:paraId="3268A413" w14:textId="7565108C" w:rsidR="00E918C6" w:rsidRPr="00AD6945" w:rsidRDefault="00E918C6" w:rsidP="00E264EB">
            <w:pPr>
              <w:numPr>
                <w:ilvl w:val="0"/>
                <w:numId w:val="31"/>
              </w:numPr>
              <w:adjustRightInd w:val="0"/>
              <w:snapToGrid w:val="0"/>
              <w:spacing w:after="80"/>
              <w:ind w:left="714" w:hanging="357"/>
              <w:jc w:val="both"/>
              <w:rPr>
                <w:rFonts w:ascii="Arial" w:hAnsi="Arial" w:cs="Arial"/>
                <w:b/>
                <w:bCs/>
                <w:spacing w:val="-4"/>
                <w:sz w:val="20"/>
                <w:lang w:val="it-IT"/>
              </w:rPr>
            </w:pPr>
            <w:r>
              <w:rPr>
                <w:rFonts w:ascii="Arial" w:hAnsi="Arial" w:cs="Arial"/>
                <w:b/>
                <w:bCs/>
                <w:sz w:val="20"/>
                <w:lang w:val="it-IT"/>
              </w:rPr>
              <w:t xml:space="preserve">+17,0% </w:t>
            </w:r>
            <w:r w:rsidRPr="00AD6945">
              <w:rPr>
                <w:rFonts w:ascii="Arial" w:hAnsi="Arial" w:cs="Arial"/>
                <w:sz w:val="20"/>
                <w:lang w:val="it-IT"/>
              </w:rPr>
              <w:t xml:space="preserve">di crescita </w:t>
            </w:r>
            <w:r w:rsidRPr="00E918C6">
              <w:rPr>
                <w:rFonts w:ascii="Arial" w:hAnsi="Arial" w:cs="Arial"/>
                <w:sz w:val="20"/>
                <w:lang w:val="it-IT"/>
              </w:rPr>
              <w:t>del fatturato digitale</w:t>
            </w:r>
          </w:p>
          <w:p w14:paraId="27CCE5D5" w14:textId="77777777" w:rsidR="00E264EB" w:rsidRPr="00AD6945" w:rsidRDefault="00E264EB">
            <w:pPr>
              <w:spacing w:after="80"/>
              <w:jc w:val="both"/>
              <w:rPr>
                <w:rFonts w:ascii="Arial" w:hAnsi="Arial" w:cs="Arial"/>
                <w:sz w:val="4"/>
                <w:szCs w:val="4"/>
                <w:lang w:val="it-IT"/>
              </w:rPr>
            </w:pPr>
          </w:p>
          <w:p w14:paraId="2EDAE446" w14:textId="0A6AF142" w:rsidR="00E264EB" w:rsidRPr="00AD6945" w:rsidRDefault="00704B25" w:rsidP="00FC65D5">
            <w:pPr>
              <w:spacing w:after="120" w:line="276" w:lineRule="auto"/>
              <w:jc w:val="both"/>
              <w:rPr>
                <w:rFonts w:ascii="Arial" w:eastAsia="Arial" w:hAnsi="Arial" w:cs="Arial"/>
                <w:color w:val="163B5C"/>
                <w:sz w:val="20"/>
                <w:lang w:val="it-IT"/>
              </w:rPr>
            </w:pPr>
            <w:r w:rsidRPr="00AD6945">
              <w:rPr>
                <w:rFonts w:ascii="Arial" w:eastAsia="Arial" w:hAnsi="Arial" w:cs="Arial"/>
                <w:b/>
                <w:bCs/>
                <w:color w:val="163B5C"/>
                <w:sz w:val="20"/>
                <w:lang w:val="it-IT"/>
              </w:rPr>
              <w:t xml:space="preserve">Guidance per il </w:t>
            </w:r>
            <w:r w:rsidR="00E264EB" w:rsidRPr="00AD6945">
              <w:rPr>
                <w:rFonts w:ascii="Arial" w:eastAsia="Arial" w:hAnsi="Arial" w:cs="Arial"/>
                <w:b/>
                <w:bCs/>
                <w:color w:val="163B5C"/>
                <w:sz w:val="20"/>
                <w:lang w:val="it-IT"/>
              </w:rPr>
              <w:t xml:space="preserve">2° trimestre 2025: </w:t>
            </w:r>
            <w:r w:rsidR="00B935E6" w:rsidRPr="00AD6945">
              <w:rPr>
                <w:rFonts w:ascii="Arial" w:eastAsia="Arial" w:hAnsi="Arial" w:cs="Arial"/>
                <w:color w:val="163B5C"/>
                <w:sz w:val="20"/>
                <w:lang w:val="it-IT"/>
              </w:rPr>
              <w:t xml:space="preserve">prevista </w:t>
            </w:r>
            <w:r w:rsidR="007642D2" w:rsidRPr="00AD6945">
              <w:rPr>
                <w:rFonts w:ascii="Arial" w:eastAsia="Arial" w:hAnsi="Arial" w:cs="Arial"/>
                <w:color w:val="163B5C"/>
                <w:sz w:val="20"/>
                <w:lang w:val="it-IT"/>
              </w:rPr>
              <w:t xml:space="preserve">una leggera crescita </w:t>
            </w:r>
            <w:r w:rsidR="004534EB" w:rsidRPr="00AD6945">
              <w:rPr>
                <w:rFonts w:ascii="Arial" w:eastAsia="Arial" w:hAnsi="Arial" w:cs="Arial"/>
                <w:color w:val="163B5C"/>
                <w:sz w:val="20"/>
                <w:lang w:val="it-IT"/>
              </w:rPr>
              <w:t xml:space="preserve">organica </w:t>
            </w:r>
            <w:r w:rsidR="004269A6" w:rsidRPr="00AD6945">
              <w:rPr>
                <w:rFonts w:ascii="Arial" w:eastAsia="Arial" w:hAnsi="Arial" w:cs="Arial"/>
                <w:color w:val="163B5C"/>
                <w:sz w:val="20"/>
                <w:lang w:val="it-IT"/>
              </w:rPr>
              <w:t>("</w:t>
            </w:r>
            <w:r w:rsidR="004269A6" w:rsidRPr="00AD6945">
              <w:rPr>
                <w:rFonts w:ascii="Arial" w:eastAsia="Arial" w:hAnsi="Arial" w:cs="Arial"/>
                <w:i/>
                <w:iCs/>
                <w:color w:val="163B5C"/>
                <w:sz w:val="20"/>
                <w:lang w:val="it-IT"/>
              </w:rPr>
              <w:t>low single digit</w:t>
            </w:r>
            <w:r w:rsidR="004269A6" w:rsidRPr="00AD6945">
              <w:rPr>
                <w:rFonts w:ascii="Arial" w:eastAsia="Arial" w:hAnsi="Arial" w:cs="Arial"/>
                <w:color w:val="163B5C"/>
                <w:sz w:val="20"/>
                <w:lang w:val="it-IT"/>
              </w:rPr>
              <w:t xml:space="preserve">") </w:t>
            </w:r>
            <w:r w:rsidR="008B416D" w:rsidRPr="00AD6945">
              <w:rPr>
                <w:rFonts w:ascii="Arial" w:eastAsia="Arial" w:hAnsi="Arial" w:cs="Arial"/>
                <w:color w:val="163B5C"/>
                <w:sz w:val="20"/>
                <w:lang w:val="it-IT"/>
              </w:rPr>
              <w:t>del</w:t>
            </w:r>
            <w:r w:rsidR="00AD6945">
              <w:rPr>
                <w:rFonts w:ascii="Arial" w:eastAsia="Arial" w:hAnsi="Arial" w:cs="Arial"/>
                <w:color w:val="163B5C"/>
                <w:sz w:val="20"/>
                <w:lang w:val="it-IT"/>
              </w:rPr>
              <w:t xml:space="preserve"> fatturato </w:t>
            </w:r>
          </w:p>
        </w:tc>
      </w:tr>
    </w:tbl>
    <w:p w14:paraId="131B3844" w14:textId="77777777" w:rsidR="00E264EB" w:rsidRPr="00AD6945" w:rsidRDefault="00E264EB" w:rsidP="00E264EB">
      <w:pPr>
        <w:ind w:left="1134"/>
        <w:jc w:val="both"/>
        <w:rPr>
          <w:rFonts w:ascii="Arial" w:hAnsi="Arial" w:cs="Arial"/>
          <w:b/>
          <w:bCs/>
          <w:sz w:val="18"/>
          <w:szCs w:val="18"/>
          <w:lang w:val="it-IT"/>
        </w:rPr>
      </w:pPr>
    </w:p>
    <w:p w14:paraId="164A349D" w14:textId="77777777" w:rsidR="00E264EB" w:rsidRPr="00AD6945" w:rsidRDefault="00E264EB" w:rsidP="00E264EB">
      <w:pPr>
        <w:ind w:left="1134"/>
        <w:jc w:val="both"/>
        <w:rPr>
          <w:rFonts w:ascii="Arial" w:hAnsi="Arial" w:cs="Arial"/>
          <w:b/>
          <w:bCs/>
          <w:sz w:val="18"/>
          <w:szCs w:val="18"/>
          <w:lang w:val="it-IT"/>
        </w:rPr>
      </w:pPr>
    </w:p>
    <w:p w14:paraId="37D12F72" w14:textId="5F5F5452" w:rsidR="00E264EB" w:rsidRPr="00AD6945" w:rsidRDefault="00E264EB" w:rsidP="00E264EB">
      <w:pPr>
        <w:ind w:left="1134"/>
        <w:jc w:val="both"/>
        <w:rPr>
          <w:rFonts w:ascii="Arial" w:eastAsia="Arial" w:hAnsi="Arial" w:cs="Arial"/>
          <w:color w:val="000000" w:themeColor="text1"/>
          <w:sz w:val="20"/>
          <w:lang w:val="it-IT"/>
        </w:rPr>
      </w:pPr>
      <w:r w:rsidRPr="00AD6945">
        <w:rPr>
          <w:rFonts w:ascii="Arial" w:eastAsia="Arial" w:hAnsi="Arial" w:cs="Arial"/>
          <w:color w:val="000000" w:themeColor="text1"/>
          <w:sz w:val="20"/>
          <w:lang w:val="it-IT"/>
        </w:rPr>
        <w:t xml:space="preserve">Commentando </w:t>
      </w:r>
      <w:r w:rsidR="00704B25" w:rsidRPr="00AD6945">
        <w:rPr>
          <w:rFonts w:ascii="Arial" w:eastAsia="Arial" w:hAnsi="Arial" w:cs="Arial"/>
          <w:color w:val="000000" w:themeColor="text1"/>
          <w:sz w:val="20"/>
          <w:lang w:val="it-IT"/>
        </w:rPr>
        <w:t xml:space="preserve">la pubblicazione </w:t>
      </w:r>
      <w:r w:rsidR="00AF5A4D">
        <w:rPr>
          <w:rFonts w:ascii="Arial" w:eastAsia="Arial" w:hAnsi="Arial" w:cs="Arial"/>
          <w:color w:val="000000" w:themeColor="text1"/>
          <w:sz w:val="20"/>
          <w:lang w:val="it-IT"/>
        </w:rPr>
        <w:t>del fatturato</w:t>
      </w:r>
      <w:r w:rsidR="00704B25" w:rsidRPr="00AD6945">
        <w:rPr>
          <w:rFonts w:ascii="Arial" w:eastAsia="Arial" w:hAnsi="Arial" w:cs="Arial"/>
          <w:color w:val="000000" w:themeColor="text1"/>
          <w:sz w:val="20"/>
          <w:lang w:val="it-IT"/>
        </w:rPr>
        <w:t xml:space="preserve"> del primo trimestre 2025</w:t>
      </w:r>
      <w:r w:rsidRPr="00AD6945">
        <w:rPr>
          <w:rFonts w:ascii="Arial" w:eastAsia="Arial" w:hAnsi="Arial" w:cs="Arial"/>
          <w:b/>
          <w:bCs/>
          <w:color w:val="000000" w:themeColor="text1"/>
          <w:sz w:val="20"/>
          <w:lang w:val="it-IT"/>
        </w:rPr>
        <w:t xml:space="preserve">, Jean-Charles Decaux, Presidente del </w:t>
      </w:r>
      <w:r w:rsidR="009A4E53">
        <w:rPr>
          <w:rFonts w:ascii="Arial" w:eastAsia="Arial" w:hAnsi="Arial" w:cs="Arial"/>
          <w:b/>
          <w:bCs/>
          <w:color w:val="000000" w:themeColor="text1"/>
          <w:sz w:val="20"/>
          <w:lang w:val="it-IT"/>
        </w:rPr>
        <w:t xml:space="preserve">Direttorio e Co-Direttore Generale </w:t>
      </w:r>
      <w:r w:rsidRPr="00AD6945">
        <w:rPr>
          <w:rFonts w:ascii="Arial" w:eastAsia="Arial" w:hAnsi="Arial" w:cs="Arial"/>
          <w:b/>
          <w:bCs/>
          <w:color w:val="000000" w:themeColor="text1"/>
          <w:sz w:val="20"/>
          <w:lang w:val="it-IT"/>
        </w:rPr>
        <w:t>di JCDecaux</w:t>
      </w:r>
      <w:r w:rsidRPr="00AD6945">
        <w:rPr>
          <w:rFonts w:ascii="Arial" w:eastAsia="Arial" w:hAnsi="Arial" w:cs="Arial"/>
          <w:color w:val="000000" w:themeColor="text1"/>
          <w:sz w:val="20"/>
          <w:lang w:val="it-IT"/>
        </w:rPr>
        <w:t>, ha dichiarato:</w:t>
      </w:r>
    </w:p>
    <w:p w14:paraId="6F15FC08" w14:textId="77777777" w:rsidR="00E264EB" w:rsidRPr="00AD6945" w:rsidRDefault="00E264EB" w:rsidP="00E264EB">
      <w:pPr>
        <w:ind w:left="1134"/>
        <w:jc w:val="both"/>
        <w:rPr>
          <w:rFonts w:ascii="Arial" w:eastAsia="Arial" w:hAnsi="Arial" w:cs="Arial"/>
          <w:color w:val="000000" w:themeColor="text1"/>
          <w:sz w:val="20"/>
          <w:lang w:val="it-IT"/>
        </w:rPr>
      </w:pPr>
    </w:p>
    <w:p w14:paraId="3972B405" w14:textId="07F0BB88" w:rsidR="00E264EB" w:rsidRPr="00AD6945" w:rsidRDefault="00E264EB" w:rsidP="00E264EB">
      <w:pPr>
        <w:spacing w:before="120"/>
        <w:ind w:left="1134"/>
        <w:jc w:val="both"/>
        <w:rPr>
          <w:rFonts w:ascii="Arial" w:eastAsia="Arial" w:hAnsi="Arial" w:cs="Arial"/>
          <w:i/>
          <w:iCs/>
          <w:color w:val="000000" w:themeColor="text1"/>
          <w:sz w:val="20"/>
          <w:lang w:val="it-IT"/>
        </w:rPr>
      </w:pPr>
      <w:bookmarkStart w:id="0" w:name="_Int_lYj0Atwc"/>
      <w:r w:rsidRPr="00AD6945">
        <w:rPr>
          <w:rFonts w:ascii="Arial" w:eastAsia="Arial" w:hAnsi="Arial" w:cs="Arial"/>
          <w:i/>
          <w:iCs/>
          <w:color w:val="000000" w:themeColor="text1"/>
          <w:sz w:val="20"/>
          <w:lang w:val="it-IT"/>
        </w:rPr>
        <w:t xml:space="preserve">"In un contesto difficile e caratterizzato da crescenti incertezze, la nostra performance nel </w:t>
      </w:r>
      <w:r w:rsidR="00704B25" w:rsidRPr="00AD6945">
        <w:rPr>
          <w:rFonts w:ascii="Arial" w:eastAsia="Arial" w:hAnsi="Arial" w:cs="Arial"/>
          <w:i/>
          <w:iCs/>
          <w:color w:val="000000" w:themeColor="text1"/>
          <w:sz w:val="20"/>
          <w:lang w:val="it-IT"/>
        </w:rPr>
        <w:t xml:space="preserve">primo </w:t>
      </w:r>
      <w:r w:rsidRPr="00AD6945">
        <w:rPr>
          <w:rFonts w:ascii="Arial" w:eastAsia="Arial" w:hAnsi="Arial" w:cs="Arial"/>
          <w:i/>
          <w:iCs/>
          <w:color w:val="000000" w:themeColor="text1"/>
          <w:sz w:val="20"/>
          <w:lang w:val="it-IT"/>
        </w:rPr>
        <w:t xml:space="preserve">trimestre è stata </w:t>
      </w:r>
      <w:r w:rsidR="00DC3C27" w:rsidRPr="00AD6945">
        <w:rPr>
          <w:rFonts w:ascii="Arial" w:eastAsia="Arial" w:hAnsi="Arial" w:cs="Arial"/>
          <w:i/>
          <w:iCs/>
          <w:color w:val="000000" w:themeColor="text1"/>
          <w:sz w:val="20"/>
          <w:lang w:val="it-IT"/>
        </w:rPr>
        <w:t>forte</w:t>
      </w:r>
      <w:r w:rsidRPr="00AD6945">
        <w:rPr>
          <w:rFonts w:ascii="Arial" w:eastAsia="Arial" w:hAnsi="Arial" w:cs="Arial"/>
          <w:i/>
          <w:iCs/>
          <w:color w:val="000000" w:themeColor="text1"/>
          <w:sz w:val="20"/>
          <w:lang w:val="it-IT"/>
        </w:rPr>
        <w:t>, con una crescita del</w:t>
      </w:r>
      <w:r w:rsidR="00AD6945">
        <w:rPr>
          <w:rFonts w:ascii="Arial" w:eastAsia="Arial" w:hAnsi="Arial" w:cs="Arial"/>
          <w:i/>
          <w:iCs/>
          <w:color w:val="000000" w:themeColor="text1"/>
          <w:sz w:val="20"/>
          <w:lang w:val="it-IT"/>
        </w:rPr>
        <w:t xml:space="preserve"> fatturato </w:t>
      </w:r>
      <w:r w:rsidRPr="00AD6945">
        <w:rPr>
          <w:rFonts w:ascii="Arial" w:eastAsia="Arial" w:hAnsi="Arial" w:cs="Arial"/>
          <w:i/>
          <w:iCs/>
          <w:color w:val="000000" w:themeColor="text1"/>
          <w:sz w:val="20"/>
          <w:lang w:val="it-IT"/>
        </w:rPr>
        <w:t>del +7</w:t>
      </w:r>
      <w:proofErr w:type="gramStart"/>
      <w:r w:rsidRPr="00AD6945">
        <w:rPr>
          <w:rFonts w:ascii="Arial" w:eastAsia="Arial" w:hAnsi="Arial" w:cs="Arial"/>
          <w:i/>
          <w:iCs/>
          <w:color w:val="000000" w:themeColor="text1"/>
          <w:sz w:val="20"/>
          <w:lang w:val="it-IT"/>
        </w:rPr>
        <w:t>%</w:t>
      </w:r>
      <w:r w:rsidR="005F5C48">
        <w:rPr>
          <w:rFonts w:ascii="Arial" w:eastAsia="Arial" w:hAnsi="Arial" w:cs="Arial"/>
          <w:i/>
          <w:iCs/>
          <w:color w:val="000000" w:themeColor="text1"/>
          <w:sz w:val="20"/>
          <w:lang w:val="it-IT"/>
        </w:rPr>
        <w:t>,</w:t>
      </w:r>
      <w:r w:rsidRPr="00AD6945">
        <w:rPr>
          <w:rFonts w:ascii="Arial" w:eastAsia="Arial" w:hAnsi="Arial" w:cs="Arial"/>
          <w:i/>
          <w:iCs/>
          <w:color w:val="000000" w:themeColor="text1"/>
          <w:sz w:val="20"/>
          <w:lang w:val="it-IT"/>
        </w:rPr>
        <w:t>+</w:t>
      </w:r>
      <w:proofErr w:type="gramEnd"/>
      <w:r w:rsidRPr="00AD6945">
        <w:rPr>
          <w:rFonts w:ascii="Arial" w:eastAsia="Arial" w:hAnsi="Arial" w:cs="Arial"/>
          <w:i/>
          <w:iCs/>
          <w:color w:val="000000" w:themeColor="text1"/>
          <w:sz w:val="20"/>
          <w:lang w:val="it-IT"/>
        </w:rPr>
        <w:t>5,5% organico, superiore alle nostre aspettative, per raggiungere</w:t>
      </w:r>
      <w:r w:rsidR="005F5C48">
        <w:rPr>
          <w:rFonts w:ascii="Arial" w:eastAsia="Arial" w:hAnsi="Arial" w:cs="Arial"/>
          <w:i/>
          <w:iCs/>
          <w:color w:val="000000" w:themeColor="text1"/>
          <w:sz w:val="20"/>
          <w:lang w:val="it-IT"/>
        </w:rPr>
        <w:t xml:space="preserve"> un fatturato di</w:t>
      </w:r>
      <w:r w:rsidRPr="00AD6945">
        <w:rPr>
          <w:rFonts w:ascii="Arial" w:eastAsia="Arial" w:hAnsi="Arial" w:cs="Arial"/>
          <w:i/>
          <w:iCs/>
          <w:color w:val="000000" w:themeColor="text1"/>
          <w:sz w:val="20"/>
          <w:lang w:val="it-IT"/>
        </w:rPr>
        <w:t xml:space="preserve"> 858 milioni di euro</w:t>
      </w:r>
      <w:r w:rsidR="00AD6945">
        <w:rPr>
          <w:rFonts w:ascii="Arial" w:eastAsia="Arial" w:hAnsi="Arial" w:cs="Arial"/>
          <w:i/>
          <w:iCs/>
          <w:color w:val="000000" w:themeColor="text1"/>
          <w:sz w:val="20"/>
          <w:lang w:val="it-IT"/>
        </w:rPr>
        <w:t>, l</w:t>
      </w:r>
      <w:r w:rsidRPr="00AD6945">
        <w:rPr>
          <w:rFonts w:ascii="Arial" w:eastAsia="Arial" w:hAnsi="Arial" w:cs="Arial"/>
          <w:i/>
          <w:iCs/>
          <w:color w:val="000000" w:themeColor="text1"/>
          <w:sz w:val="20"/>
          <w:lang w:val="it-IT"/>
        </w:rPr>
        <w:t xml:space="preserve">ivello record per un primo trimestre. Questa performance </w:t>
      </w:r>
      <w:r w:rsidR="00704B25" w:rsidRPr="00AD6945">
        <w:rPr>
          <w:rFonts w:ascii="Arial" w:eastAsia="Arial" w:hAnsi="Arial" w:cs="Arial"/>
          <w:i/>
          <w:iCs/>
          <w:color w:val="000000" w:themeColor="text1"/>
          <w:sz w:val="20"/>
          <w:lang w:val="it-IT"/>
        </w:rPr>
        <w:t xml:space="preserve">è stata </w:t>
      </w:r>
      <w:r w:rsidRPr="00AD6945">
        <w:rPr>
          <w:rFonts w:ascii="Arial" w:eastAsia="Arial" w:hAnsi="Arial" w:cs="Arial"/>
          <w:i/>
          <w:iCs/>
          <w:color w:val="000000" w:themeColor="text1"/>
          <w:sz w:val="20"/>
          <w:lang w:val="it-IT"/>
        </w:rPr>
        <w:t xml:space="preserve">trainata dalla continua </w:t>
      </w:r>
      <w:r w:rsidR="00171E6A" w:rsidRPr="00AD6945">
        <w:rPr>
          <w:rFonts w:ascii="Arial" w:eastAsia="Arial" w:hAnsi="Arial" w:cs="Arial"/>
          <w:i/>
          <w:iCs/>
          <w:color w:val="000000" w:themeColor="text1"/>
          <w:sz w:val="20"/>
          <w:lang w:val="it-IT"/>
        </w:rPr>
        <w:t xml:space="preserve">e </w:t>
      </w:r>
      <w:r w:rsidRPr="00AD6945">
        <w:rPr>
          <w:rFonts w:ascii="Arial" w:eastAsia="Arial" w:hAnsi="Arial" w:cs="Arial"/>
          <w:i/>
          <w:iCs/>
          <w:color w:val="000000" w:themeColor="text1"/>
          <w:sz w:val="20"/>
          <w:lang w:val="it-IT"/>
        </w:rPr>
        <w:t>forte crescita del</w:t>
      </w:r>
      <w:r w:rsidR="00AD6945">
        <w:rPr>
          <w:rFonts w:ascii="Arial" w:eastAsia="Arial" w:hAnsi="Arial" w:cs="Arial"/>
          <w:i/>
          <w:iCs/>
          <w:color w:val="000000" w:themeColor="text1"/>
          <w:sz w:val="20"/>
          <w:lang w:val="it-IT"/>
        </w:rPr>
        <w:t xml:space="preserve"> fatturato</w:t>
      </w:r>
      <w:r w:rsidR="00AD6945" w:rsidRPr="00AD6945">
        <w:rPr>
          <w:rFonts w:ascii="Arial" w:eastAsia="Arial" w:hAnsi="Arial" w:cs="Arial"/>
          <w:i/>
          <w:iCs/>
          <w:color w:val="000000" w:themeColor="text1"/>
          <w:sz w:val="20"/>
          <w:lang w:val="it-IT"/>
        </w:rPr>
        <w:t xml:space="preserve"> </w:t>
      </w:r>
      <w:r w:rsidRPr="00AD6945">
        <w:rPr>
          <w:rFonts w:ascii="Arial" w:eastAsia="Arial" w:hAnsi="Arial" w:cs="Arial"/>
          <w:i/>
          <w:iCs/>
          <w:color w:val="000000" w:themeColor="text1"/>
          <w:sz w:val="20"/>
          <w:lang w:val="it-IT"/>
        </w:rPr>
        <w:t>digital</w:t>
      </w:r>
      <w:r w:rsidR="00AD6945">
        <w:rPr>
          <w:rFonts w:ascii="Arial" w:eastAsia="Arial" w:hAnsi="Arial" w:cs="Arial"/>
          <w:i/>
          <w:iCs/>
          <w:color w:val="000000" w:themeColor="text1"/>
          <w:sz w:val="20"/>
          <w:lang w:val="it-IT"/>
        </w:rPr>
        <w:t>e</w:t>
      </w:r>
      <w:r w:rsidRPr="00AD6945">
        <w:rPr>
          <w:rFonts w:ascii="Arial" w:eastAsia="Arial" w:hAnsi="Arial" w:cs="Arial"/>
          <w:i/>
          <w:iCs/>
          <w:color w:val="000000" w:themeColor="text1"/>
          <w:sz w:val="20"/>
          <w:lang w:val="it-IT"/>
        </w:rPr>
        <w:t xml:space="preserve"> </w:t>
      </w:r>
      <w:r w:rsidR="009A4E53">
        <w:rPr>
          <w:rFonts w:ascii="Arial" w:eastAsia="Arial" w:hAnsi="Arial" w:cs="Arial"/>
          <w:i/>
          <w:iCs/>
          <w:color w:val="000000" w:themeColor="text1"/>
          <w:sz w:val="20"/>
          <w:lang w:val="it-IT"/>
        </w:rPr>
        <w:t xml:space="preserve">a </w:t>
      </w:r>
      <w:r w:rsidRPr="00AD6945">
        <w:rPr>
          <w:rFonts w:ascii="Arial" w:eastAsia="Arial" w:hAnsi="Arial" w:cs="Arial"/>
          <w:i/>
          <w:iCs/>
          <w:color w:val="000000" w:themeColor="text1"/>
          <w:sz w:val="20"/>
          <w:lang w:val="it-IT"/>
        </w:rPr>
        <w:t>+17%, +15,8% organico</w:t>
      </w:r>
      <w:r w:rsidR="006E5DDE" w:rsidRPr="00AD6945">
        <w:rPr>
          <w:rFonts w:ascii="Arial" w:eastAsia="Arial" w:hAnsi="Arial" w:cs="Arial"/>
          <w:i/>
          <w:iCs/>
          <w:color w:val="000000" w:themeColor="text1"/>
          <w:sz w:val="20"/>
          <w:lang w:val="it-IT"/>
        </w:rPr>
        <w:t>, con</w:t>
      </w:r>
      <w:r w:rsidR="00AD6945">
        <w:rPr>
          <w:rFonts w:ascii="Arial" w:eastAsia="Arial" w:hAnsi="Arial" w:cs="Arial"/>
          <w:i/>
          <w:iCs/>
          <w:color w:val="000000" w:themeColor="text1"/>
          <w:sz w:val="20"/>
          <w:lang w:val="it-IT"/>
        </w:rPr>
        <w:t xml:space="preserve"> il fatturato</w:t>
      </w:r>
      <w:r w:rsidR="006E5DDE" w:rsidRPr="00AD6945">
        <w:rPr>
          <w:rFonts w:ascii="Arial" w:eastAsia="Arial" w:hAnsi="Arial" w:cs="Arial"/>
          <w:i/>
          <w:iCs/>
          <w:color w:val="000000" w:themeColor="text1"/>
          <w:sz w:val="20"/>
          <w:lang w:val="it-IT"/>
        </w:rPr>
        <w:t xml:space="preserve"> programmatic</w:t>
      </w:r>
      <w:r w:rsidR="00AD6945">
        <w:rPr>
          <w:rFonts w:ascii="Arial" w:eastAsia="Arial" w:hAnsi="Arial" w:cs="Arial"/>
          <w:i/>
          <w:iCs/>
          <w:color w:val="000000" w:themeColor="text1"/>
          <w:sz w:val="20"/>
          <w:lang w:val="it-IT"/>
        </w:rPr>
        <w:t>o</w:t>
      </w:r>
      <w:r w:rsidR="006E5DDE" w:rsidRPr="00AD6945">
        <w:rPr>
          <w:rFonts w:ascii="Arial" w:eastAsia="Arial" w:hAnsi="Arial" w:cs="Arial"/>
          <w:i/>
          <w:iCs/>
          <w:color w:val="000000" w:themeColor="text1"/>
          <w:sz w:val="20"/>
          <w:lang w:val="it-IT"/>
        </w:rPr>
        <w:t xml:space="preserve"> </w:t>
      </w:r>
      <w:r w:rsidR="00FD5ABF" w:rsidRPr="00AD6945">
        <w:rPr>
          <w:rFonts w:ascii="Arial" w:eastAsia="Arial" w:hAnsi="Arial" w:cs="Arial"/>
          <w:i/>
          <w:iCs/>
          <w:color w:val="000000" w:themeColor="text1"/>
          <w:sz w:val="20"/>
          <w:lang w:val="it-IT"/>
        </w:rPr>
        <w:t>digital</w:t>
      </w:r>
      <w:r w:rsidR="00AD6945">
        <w:rPr>
          <w:rFonts w:ascii="Arial" w:eastAsia="Arial" w:hAnsi="Arial" w:cs="Arial"/>
          <w:i/>
          <w:iCs/>
          <w:color w:val="000000" w:themeColor="text1"/>
          <w:sz w:val="20"/>
          <w:lang w:val="it-IT"/>
        </w:rPr>
        <w:t>e</w:t>
      </w:r>
      <w:r w:rsidR="00FD5ABF" w:rsidRPr="00AD6945">
        <w:rPr>
          <w:rFonts w:ascii="Arial" w:eastAsia="Arial" w:hAnsi="Arial" w:cs="Arial"/>
          <w:i/>
          <w:iCs/>
          <w:color w:val="000000" w:themeColor="text1"/>
          <w:sz w:val="20"/>
          <w:lang w:val="it-IT"/>
        </w:rPr>
        <w:t xml:space="preserve"> </w:t>
      </w:r>
      <w:r w:rsidR="00454013" w:rsidRPr="00AD6945">
        <w:rPr>
          <w:rFonts w:ascii="Arial" w:eastAsia="Arial" w:hAnsi="Arial" w:cs="Arial"/>
          <w:i/>
          <w:iCs/>
          <w:color w:val="000000" w:themeColor="text1"/>
          <w:sz w:val="20"/>
          <w:lang w:val="it-IT"/>
        </w:rPr>
        <w:t xml:space="preserve">OOH </w:t>
      </w:r>
      <w:r w:rsidR="000D5E40" w:rsidRPr="00AD6945">
        <w:rPr>
          <w:rFonts w:ascii="Arial" w:eastAsia="Arial" w:hAnsi="Arial" w:cs="Arial"/>
          <w:i/>
          <w:iCs/>
          <w:color w:val="000000" w:themeColor="text1"/>
          <w:sz w:val="20"/>
          <w:lang w:val="it-IT"/>
        </w:rPr>
        <w:t>in aumento del +</w:t>
      </w:r>
      <w:r w:rsidR="00E918C6">
        <w:rPr>
          <w:rFonts w:ascii="Arial" w:eastAsia="Arial" w:hAnsi="Arial" w:cs="Arial"/>
          <w:i/>
          <w:iCs/>
          <w:color w:val="000000" w:themeColor="text1"/>
          <w:sz w:val="20"/>
          <w:lang w:val="it-IT"/>
        </w:rPr>
        <w:t>29,9</w:t>
      </w:r>
      <w:r w:rsidR="000D5E40" w:rsidRPr="00AD6945">
        <w:rPr>
          <w:rFonts w:ascii="Arial" w:eastAsia="Arial" w:hAnsi="Arial" w:cs="Arial"/>
          <w:i/>
          <w:iCs/>
          <w:color w:val="000000" w:themeColor="text1"/>
          <w:sz w:val="20"/>
          <w:lang w:val="it-IT"/>
        </w:rPr>
        <w:t>%</w:t>
      </w:r>
      <w:r w:rsidRPr="00AD6945">
        <w:rPr>
          <w:rFonts w:ascii="Arial" w:eastAsia="Arial" w:hAnsi="Arial" w:cs="Arial"/>
          <w:i/>
          <w:iCs/>
          <w:color w:val="000000" w:themeColor="text1"/>
          <w:sz w:val="20"/>
          <w:lang w:val="it-IT"/>
        </w:rPr>
        <w:t xml:space="preserve">. </w:t>
      </w:r>
      <w:r w:rsidR="007012A8" w:rsidRPr="00AD6945">
        <w:rPr>
          <w:rFonts w:ascii="Arial" w:eastAsia="Arial" w:hAnsi="Arial" w:cs="Arial"/>
          <w:i/>
          <w:iCs/>
          <w:color w:val="000000" w:themeColor="text1"/>
          <w:sz w:val="20"/>
          <w:lang w:val="it-IT"/>
        </w:rPr>
        <w:t xml:space="preserve">Tutti i segmenti e </w:t>
      </w:r>
      <w:r w:rsidR="00036386" w:rsidRPr="00AD6945">
        <w:rPr>
          <w:rFonts w:ascii="Arial" w:eastAsia="Arial" w:hAnsi="Arial" w:cs="Arial"/>
          <w:i/>
          <w:iCs/>
          <w:color w:val="000000" w:themeColor="text1"/>
          <w:sz w:val="20"/>
          <w:lang w:val="it-IT"/>
        </w:rPr>
        <w:t xml:space="preserve">tutte le </w:t>
      </w:r>
      <w:r w:rsidR="00AD6945">
        <w:rPr>
          <w:rFonts w:ascii="Arial" w:eastAsia="Arial" w:hAnsi="Arial" w:cs="Arial"/>
          <w:i/>
          <w:iCs/>
          <w:color w:val="000000" w:themeColor="text1"/>
          <w:sz w:val="20"/>
          <w:lang w:val="it-IT"/>
        </w:rPr>
        <w:t>aree</w:t>
      </w:r>
      <w:r w:rsidR="00036386" w:rsidRPr="00AD6945">
        <w:rPr>
          <w:rFonts w:ascii="Arial" w:eastAsia="Arial" w:hAnsi="Arial" w:cs="Arial"/>
          <w:i/>
          <w:iCs/>
          <w:color w:val="000000" w:themeColor="text1"/>
          <w:sz w:val="20"/>
          <w:lang w:val="it-IT"/>
        </w:rPr>
        <w:t xml:space="preserve"> geografiche </w:t>
      </w:r>
      <w:r w:rsidR="00191347" w:rsidRPr="00AD6945">
        <w:rPr>
          <w:rFonts w:ascii="Arial" w:eastAsia="Arial" w:hAnsi="Arial" w:cs="Arial"/>
          <w:i/>
          <w:iCs/>
          <w:color w:val="000000" w:themeColor="text1"/>
          <w:sz w:val="20"/>
          <w:lang w:val="it-IT"/>
        </w:rPr>
        <w:t xml:space="preserve">hanno registrato una </w:t>
      </w:r>
      <w:r w:rsidR="00036386" w:rsidRPr="00AD6945">
        <w:rPr>
          <w:rFonts w:ascii="Arial" w:eastAsia="Arial" w:hAnsi="Arial" w:cs="Arial"/>
          <w:i/>
          <w:iCs/>
          <w:color w:val="000000" w:themeColor="text1"/>
          <w:sz w:val="20"/>
          <w:lang w:val="it-IT"/>
        </w:rPr>
        <w:t xml:space="preserve">crescita </w:t>
      </w:r>
      <w:r w:rsidR="009C0312" w:rsidRPr="00AD6945">
        <w:rPr>
          <w:rFonts w:ascii="Arial" w:eastAsia="Arial" w:hAnsi="Arial" w:cs="Arial"/>
          <w:i/>
          <w:iCs/>
          <w:color w:val="000000" w:themeColor="text1"/>
          <w:sz w:val="20"/>
          <w:lang w:val="it-IT"/>
        </w:rPr>
        <w:t xml:space="preserve">in questo </w:t>
      </w:r>
      <w:r w:rsidR="00D96059" w:rsidRPr="00AD6945">
        <w:rPr>
          <w:rFonts w:ascii="Arial" w:eastAsia="Arial" w:hAnsi="Arial" w:cs="Arial"/>
          <w:i/>
          <w:iCs/>
          <w:color w:val="000000" w:themeColor="text1"/>
          <w:sz w:val="20"/>
          <w:lang w:val="it-IT"/>
        </w:rPr>
        <w:t xml:space="preserve">trimestre. </w:t>
      </w:r>
      <w:r w:rsidRPr="00AD6945">
        <w:rPr>
          <w:rFonts w:ascii="Arial" w:eastAsia="Arial" w:hAnsi="Arial" w:cs="Arial"/>
          <w:i/>
          <w:iCs/>
          <w:color w:val="000000" w:themeColor="text1"/>
          <w:sz w:val="20"/>
          <w:lang w:val="it-IT"/>
        </w:rPr>
        <w:t>L'</w:t>
      </w:r>
      <w:r w:rsidR="009A4E53">
        <w:rPr>
          <w:rFonts w:ascii="Arial" w:eastAsia="Arial" w:hAnsi="Arial" w:cs="Arial"/>
          <w:i/>
          <w:iCs/>
          <w:color w:val="000000" w:themeColor="text1"/>
          <w:sz w:val="20"/>
          <w:lang w:val="it-IT"/>
        </w:rPr>
        <w:t>A</w:t>
      </w:r>
      <w:r w:rsidRPr="00AD6945">
        <w:rPr>
          <w:rFonts w:ascii="Arial" w:eastAsia="Arial" w:hAnsi="Arial" w:cs="Arial"/>
          <w:i/>
          <w:iCs/>
          <w:color w:val="000000" w:themeColor="text1"/>
          <w:sz w:val="20"/>
          <w:lang w:val="it-IT"/>
        </w:rPr>
        <w:t xml:space="preserve">rredo </w:t>
      </w:r>
      <w:r w:rsidR="009A4E53">
        <w:rPr>
          <w:rFonts w:ascii="Arial" w:eastAsia="Arial" w:hAnsi="Arial" w:cs="Arial"/>
          <w:i/>
          <w:iCs/>
          <w:color w:val="000000" w:themeColor="text1"/>
          <w:sz w:val="20"/>
          <w:lang w:val="it-IT"/>
        </w:rPr>
        <w:t>U</w:t>
      </w:r>
      <w:r w:rsidRPr="00AD6945">
        <w:rPr>
          <w:rFonts w:ascii="Arial" w:eastAsia="Arial" w:hAnsi="Arial" w:cs="Arial"/>
          <w:i/>
          <w:iCs/>
          <w:color w:val="000000" w:themeColor="text1"/>
          <w:sz w:val="20"/>
          <w:lang w:val="it-IT"/>
        </w:rPr>
        <w:t xml:space="preserve">rbano è </w:t>
      </w:r>
      <w:r w:rsidR="00704B25" w:rsidRPr="00AD6945">
        <w:rPr>
          <w:rFonts w:ascii="Arial" w:eastAsia="Arial" w:hAnsi="Arial" w:cs="Arial"/>
          <w:i/>
          <w:iCs/>
          <w:color w:val="000000" w:themeColor="text1"/>
          <w:sz w:val="20"/>
          <w:lang w:val="it-IT"/>
        </w:rPr>
        <w:t xml:space="preserve">cresciuto </w:t>
      </w:r>
      <w:r w:rsidRPr="00AD6945">
        <w:rPr>
          <w:rFonts w:ascii="Arial" w:eastAsia="Arial" w:hAnsi="Arial" w:cs="Arial"/>
          <w:i/>
          <w:iCs/>
          <w:color w:val="000000" w:themeColor="text1"/>
          <w:sz w:val="20"/>
          <w:lang w:val="it-IT"/>
        </w:rPr>
        <w:t xml:space="preserve">del </w:t>
      </w:r>
      <w:r w:rsidR="009A4E53">
        <w:rPr>
          <w:rFonts w:ascii="Arial" w:eastAsia="Arial" w:hAnsi="Arial" w:cs="Arial"/>
          <w:i/>
          <w:iCs/>
          <w:color w:val="000000" w:themeColor="text1"/>
          <w:sz w:val="20"/>
          <w:lang w:val="it-IT"/>
        </w:rPr>
        <w:t>+</w:t>
      </w:r>
      <w:r w:rsidRPr="00AD6945">
        <w:rPr>
          <w:rFonts w:ascii="Arial" w:eastAsia="Arial" w:hAnsi="Arial" w:cs="Arial"/>
          <w:i/>
          <w:iCs/>
          <w:color w:val="000000" w:themeColor="text1"/>
          <w:sz w:val="20"/>
          <w:lang w:val="it-IT"/>
        </w:rPr>
        <w:t xml:space="preserve">5,3%, trainato dal Resto d'Europa, dal Nord America e dal Resto del Mondo. I </w:t>
      </w:r>
      <w:r w:rsidR="009A4E53">
        <w:rPr>
          <w:rFonts w:ascii="Arial" w:eastAsia="Arial" w:hAnsi="Arial" w:cs="Arial"/>
          <w:i/>
          <w:iCs/>
          <w:color w:val="000000" w:themeColor="text1"/>
          <w:sz w:val="20"/>
          <w:lang w:val="it-IT"/>
        </w:rPr>
        <w:t>T</w:t>
      </w:r>
      <w:r w:rsidRPr="00AD6945">
        <w:rPr>
          <w:rFonts w:ascii="Arial" w:eastAsia="Arial" w:hAnsi="Arial" w:cs="Arial"/>
          <w:i/>
          <w:iCs/>
          <w:color w:val="000000" w:themeColor="text1"/>
          <w:sz w:val="20"/>
          <w:lang w:val="it-IT"/>
        </w:rPr>
        <w:t xml:space="preserve">rasporti </w:t>
      </w:r>
      <w:r w:rsidR="00704B25" w:rsidRPr="00AD6945">
        <w:rPr>
          <w:rFonts w:ascii="Arial" w:eastAsia="Arial" w:hAnsi="Arial" w:cs="Arial"/>
          <w:i/>
          <w:iCs/>
          <w:color w:val="000000" w:themeColor="text1"/>
          <w:sz w:val="20"/>
          <w:lang w:val="it-IT"/>
        </w:rPr>
        <w:t xml:space="preserve">sono cresciuti </w:t>
      </w:r>
      <w:r w:rsidRPr="00AD6945">
        <w:rPr>
          <w:rFonts w:ascii="Arial" w:eastAsia="Arial" w:hAnsi="Arial" w:cs="Arial"/>
          <w:i/>
          <w:iCs/>
          <w:color w:val="000000" w:themeColor="text1"/>
          <w:sz w:val="20"/>
          <w:lang w:val="it-IT"/>
        </w:rPr>
        <w:t xml:space="preserve">del </w:t>
      </w:r>
      <w:r w:rsidR="009A4E53">
        <w:rPr>
          <w:rFonts w:ascii="Arial" w:eastAsia="Arial" w:hAnsi="Arial" w:cs="Arial"/>
          <w:i/>
          <w:iCs/>
          <w:color w:val="000000" w:themeColor="text1"/>
          <w:sz w:val="20"/>
          <w:lang w:val="it-IT"/>
        </w:rPr>
        <w:t>+</w:t>
      </w:r>
      <w:r w:rsidRPr="00AD6945">
        <w:rPr>
          <w:rFonts w:ascii="Arial" w:eastAsia="Arial" w:hAnsi="Arial" w:cs="Arial"/>
          <w:i/>
          <w:iCs/>
          <w:color w:val="000000" w:themeColor="text1"/>
          <w:sz w:val="20"/>
          <w:lang w:val="it-IT"/>
        </w:rPr>
        <w:t>6,1%, trainati da Regno Unito, Resto d'Europa e Nord America</w:t>
      </w:r>
      <w:r w:rsidR="00704B25" w:rsidRPr="00AD6945">
        <w:rPr>
          <w:rFonts w:ascii="Arial" w:eastAsia="Arial" w:hAnsi="Arial" w:cs="Arial"/>
          <w:i/>
          <w:iCs/>
          <w:color w:val="000000" w:themeColor="text1"/>
          <w:sz w:val="20"/>
          <w:lang w:val="it-IT"/>
        </w:rPr>
        <w:t xml:space="preserve">, </w:t>
      </w:r>
      <w:r w:rsidR="008716E4" w:rsidRPr="00AD6945">
        <w:rPr>
          <w:rFonts w:ascii="Arial" w:eastAsia="Arial" w:hAnsi="Arial" w:cs="Arial"/>
          <w:i/>
          <w:iCs/>
          <w:color w:val="000000" w:themeColor="text1"/>
          <w:sz w:val="20"/>
          <w:lang w:val="it-IT"/>
        </w:rPr>
        <w:t>mentre l</w:t>
      </w:r>
      <w:r w:rsidRPr="00AD6945">
        <w:rPr>
          <w:rFonts w:ascii="Arial" w:eastAsia="Arial" w:hAnsi="Arial" w:cs="Arial"/>
          <w:i/>
          <w:iCs/>
          <w:color w:val="000000" w:themeColor="text1"/>
          <w:sz w:val="20"/>
          <w:lang w:val="it-IT"/>
        </w:rPr>
        <w:t xml:space="preserve">'Asia-Pacifico </w:t>
      </w:r>
      <w:r w:rsidR="008E5871" w:rsidRPr="00AD6945">
        <w:rPr>
          <w:rFonts w:ascii="Arial" w:eastAsia="Arial" w:hAnsi="Arial" w:cs="Arial"/>
          <w:i/>
          <w:iCs/>
          <w:color w:val="000000" w:themeColor="text1"/>
          <w:sz w:val="20"/>
          <w:lang w:val="it-IT"/>
        </w:rPr>
        <w:t>ha registrato</w:t>
      </w:r>
      <w:r w:rsidR="00704B25" w:rsidRPr="00AD6945">
        <w:rPr>
          <w:rFonts w:ascii="Arial" w:eastAsia="Arial" w:hAnsi="Arial" w:cs="Arial"/>
          <w:i/>
          <w:iCs/>
          <w:color w:val="000000" w:themeColor="text1"/>
          <w:sz w:val="20"/>
          <w:lang w:val="it-IT"/>
        </w:rPr>
        <w:t xml:space="preserve"> </w:t>
      </w:r>
      <w:r w:rsidR="00DF7A8C" w:rsidRPr="00AD6945">
        <w:rPr>
          <w:rFonts w:ascii="Arial" w:eastAsia="Arial" w:hAnsi="Arial" w:cs="Arial"/>
          <w:i/>
          <w:iCs/>
          <w:color w:val="000000" w:themeColor="text1"/>
          <w:sz w:val="20"/>
          <w:lang w:val="it-IT"/>
        </w:rPr>
        <w:t xml:space="preserve">un </w:t>
      </w:r>
      <w:r w:rsidR="008E5871" w:rsidRPr="00AD6945">
        <w:rPr>
          <w:rFonts w:ascii="Arial" w:eastAsia="Arial" w:hAnsi="Arial" w:cs="Arial"/>
          <w:i/>
          <w:iCs/>
          <w:color w:val="000000" w:themeColor="text1"/>
          <w:sz w:val="20"/>
          <w:lang w:val="it-IT"/>
        </w:rPr>
        <w:t>aumento a una sola cifra</w:t>
      </w:r>
      <w:r w:rsidR="005F5C48">
        <w:rPr>
          <w:rFonts w:ascii="Arial" w:eastAsia="Arial" w:hAnsi="Arial" w:cs="Arial"/>
          <w:i/>
          <w:iCs/>
          <w:color w:val="000000" w:themeColor="text1"/>
          <w:sz w:val="20"/>
          <w:lang w:val="it-IT"/>
        </w:rPr>
        <w:t xml:space="preserve"> (</w:t>
      </w:r>
      <w:r w:rsidR="005F5C48" w:rsidRPr="00C973B4">
        <w:rPr>
          <w:rFonts w:ascii="Arial" w:eastAsia="Arial" w:hAnsi="Arial" w:cs="Arial"/>
          <w:color w:val="000000" w:themeColor="text1"/>
          <w:sz w:val="20"/>
          <w:lang w:val="it-IT"/>
        </w:rPr>
        <w:t>"low single digit"</w:t>
      </w:r>
      <w:r w:rsidR="005F5C48">
        <w:rPr>
          <w:rFonts w:ascii="Arial" w:eastAsia="Arial" w:hAnsi="Arial" w:cs="Arial"/>
          <w:i/>
          <w:iCs/>
          <w:color w:val="000000" w:themeColor="text1"/>
          <w:sz w:val="20"/>
          <w:lang w:val="it-IT"/>
        </w:rPr>
        <w:t>)</w:t>
      </w:r>
      <w:r w:rsidR="0083786F" w:rsidRPr="00AD6945">
        <w:rPr>
          <w:rFonts w:ascii="Arial" w:eastAsia="Arial" w:hAnsi="Arial" w:cs="Arial"/>
          <w:i/>
          <w:iCs/>
          <w:color w:val="000000" w:themeColor="text1"/>
          <w:sz w:val="20"/>
          <w:lang w:val="it-IT"/>
        </w:rPr>
        <w:t xml:space="preserve">, con la </w:t>
      </w:r>
      <w:r w:rsidRPr="00AD6945">
        <w:rPr>
          <w:rFonts w:ascii="Arial" w:eastAsia="Arial" w:hAnsi="Arial" w:cs="Arial"/>
          <w:i/>
          <w:iCs/>
          <w:color w:val="000000" w:themeColor="text1"/>
          <w:sz w:val="20"/>
          <w:lang w:val="it-IT"/>
        </w:rPr>
        <w:t xml:space="preserve">Cina </w:t>
      </w:r>
      <w:r w:rsidR="00AD6945">
        <w:rPr>
          <w:rFonts w:ascii="Arial" w:eastAsia="Arial" w:hAnsi="Arial" w:cs="Arial"/>
          <w:i/>
          <w:iCs/>
          <w:color w:val="000000" w:themeColor="text1"/>
          <w:sz w:val="20"/>
          <w:lang w:val="it-IT"/>
        </w:rPr>
        <w:t xml:space="preserve">che resta </w:t>
      </w:r>
      <w:r w:rsidRPr="00AD6945">
        <w:rPr>
          <w:rFonts w:ascii="Arial" w:eastAsia="Arial" w:hAnsi="Arial" w:cs="Arial"/>
          <w:i/>
          <w:iCs/>
          <w:color w:val="000000" w:themeColor="text1"/>
          <w:sz w:val="20"/>
          <w:lang w:val="it-IT"/>
        </w:rPr>
        <w:t xml:space="preserve">stabile. </w:t>
      </w:r>
      <w:r w:rsidR="00AD6945">
        <w:rPr>
          <w:rFonts w:ascii="Arial" w:eastAsia="Arial" w:hAnsi="Arial" w:cs="Arial"/>
          <w:i/>
          <w:iCs/>
          <w:color w:val="000000" w:themeColor="text1"/>
          <w:sz w:val="20"/>
          <w:lang w:val="it-IT"/>
        </w:rPr>
        <w:t>L</w:t>
      </w:r>
      <w:r w:rsidR="009A4E53">
        <w:rPr>
          <w:rFonts w:ascii="Arial" w:eastAsia="Arial" w:hAnsi="Arial" w:cs="Arial"/>
          <w:i/>
          <w:iCs/>
          <w:color w:val="000000" w:themeColor="text1"/>
          <w:sz w:val="20"/>
          <w:lang w:val="it-IT"/>
        </w:rPr>
        <w:t>’A</w:t>
      </w:r>
      <w:r w:rsidR="00AD6945">
        <w:rPr>
          <w:rFonts w:ascii="Arial" w:eastAsia="Arial" w:hAnsi="Arial" w:cs="Arial"/>
          <w:i/>
          <w:iCs/>
          <w:color w:val="000000" w:themeColor="text1"/>
          <w:sz w:val="20"/>
          <w:lang w:val="it-IT"/>
        </w:rPr>
        <w:t>ffission</w:t>
      </w:r>
      <w:r w:rsidR="009A4E53">
        <w:rPr>
          <w:rFonts w:ascii="Arial" w:eastAsia="Arial" w:hAnsi="Arial" w:cs="Arial"/>
          <w:i/>
          <w:iCs/>
          <w:color w:val="000000" w:themeColor="text1"/>
          <w:sz w:val="20"/>
          <w:lang w:val="it-IT"/>
        </w:rPr>
        <w:t>e</w:t>
      </w:r>
      <w:r w:rsidR="00704B25" w:rsidRPr="00AD6945">
        <w:rPr>
          <w:rFonts w:ascii="Arial" w:eastAsia="Arial" w:hAnsi="Arial" w:cs="Arial"/>
          <w:i/>
          <w:iCs/>
          <w:color w:val="000000" w:themeColor="text1"/>
          <w:sz w:val="20"/>
          <w:lang w:val="it-IT"/>
        </w:rPr>
        <w:t xml:space="preserve"> </w:t>
      </w:r>
      <w:r w:rsidR="009A4E53">
        <w:rPr>
          <w:rFonts w:ascii="Arial" w:eastAsia="Arial" w:hAnsi="Arial" w:cs="Arial"/>
          <w:i/>
          <w:iCs/>
          <w:color w:val="000000" w:themeColor="text1"/>
          <w:sz w:val="20"/>
          <w:lang w:val="it-IT"/>
        </w:rPr>
        <w:t>è</w:t>
      </w:r>
      <w:r w:rsidR="00704B25" w:rsidRPr="00AD6945">
        <w:rPr>
          <w:rFonts w:ascii="Arial" w:eastAsia="Arial" w:hAnsi="Arial" w:cs="Arial"/>
          <w:i/>
          <w:iCs/>
          <w:color w:val="000000" w:themeColor="text1"/>
          <w:sz w:val="20"/>
          <w:lang w:val="it-IT"/>
        </w:rPr>
        <w:t xml:space="preserve"> </w:t>
      </w:r>
      <w:r w:rsidRPr="00AD6945">
        <w:rPr>
          <w:rFonts w:ascii="Arial" w:eastAsia="Arial" w:hAnsi="Arial" w:cs="Arial"/>
          <w:i/>
          <w:iCs/>
          <w:color w:val="000000" w:themeColor="text1"/>
          <w:sz w:val="20"/>
          <w:lang w:val="it-IT"/>
        </w:rPr>
        <w:t>cresciut</w:t>
      </w:r>
      <w:r w:rsidR="009A4E53">
        <w:rPr>
          <w:rFonts w:ascii="Arial" w:eastAsia="Arial" w:hAnsi="Arial" w:cs="Arial"/>
          <w:i/>
          <w:iCs/>
          <w:color w:val="000000" w:themeColor="text1"/>
          <w:sz w:val="20"/>
          <w:lang w:val="it-IT"/>
        </w:rPr>
        <w:t>a</w:t>
      </w:r>
      <w:r w:rsidRPr="00AD6945">
        <w:rPr>
          <w:rFonts w:ascii="Arial" w:eastAsia="Arial" w:hAnsi="Arial" w:cs="Arial"/>
          <w:i/>
          <w:iCs/>
          <w:color w:val="000000" w:themeColor="text1"/>
          <w:sz w:val="20"/>
          <w:lang w:val="it-IT"/>
        </w:rPr>
        <w:t xml:space="preserve"> del +4,6%, trainat</w:t>
      </w:r>
      <w:r w:rsidR="009A4E53">
        <w:rPr>
          <w:rFonts w:ascii="Arial" w:eastAsia="Arial" w:hAnsi="Arial" w:cs="Arial"/>
          <w:i/>
          <w:iCs/>
          <w:color w:val="000000" w:themeColor="text1"/>
          <w:sz w:val="20"/>
          <w:lang w:val="it-IT"/>
        </w:rPr>
        <w:t>a</w:t>
      </w:r>
      <w:r w:rsidRPr="00AD6945">
        <w:rPr>
          <w:rFonts w:ascii="Arial" w:eastAsia="Arial" w:hAnsi="Arial" w:cs="Arial"/>
          <w:i/>
          <w:iCs/>
          <w:color w:val="000000" w:themeColor="text1"/>
          <w:sz w:val="20"/>
          <w:lang w:val="it-IT"/>
        </w:rPr>
        <w:t xml:space="preserve"> dai mercati più </w:t>
      </w:r>
      <w:r w:rsidR="005D0107" w:rsidRPr="00AD6945">
        <w:rPr>
          <w:rFonts w:ascii="Arial" w:eastAsia="Arial" w:hAnsi="Arial" w:cs="Arial"/>
          <w:i/>
          <w:iCs/>
          <w:color w:val="000000" w:themeColor="text1"/>
          <w:sz w:val="20"/>
          <w:lang w:val="it-IT"/>
        </w:rPr>
        <w:t>digitalizzati</w:t>
      </w:r>
      <w:bookmarkStart w:id="1" w:name="_Int_JjlJrqwN"/>
      <w:bookmarkEnd w:id="0"/>
      <w:bookmarkEnd w:id="1"/>
      <w:r w:rsidR="00AD6945">
        <w:rPr>
          <w:rFonts w:ascii="Arial" w:eastAsia="Arial" w:hAnsi="Arial" w:cs="Arial"/>
          <w:i/>
          <w:iCs/>
          <w:color w:val="000000" w:themeColor="text1"/>
          <w:sz w:val="20"/>
          <w:lang w:val="it-IT"/>
        </w:rPr>
        <w:t>.</w:t>
      </w:r>
    </w:p>
    <w:p w14:paraId="0070FA10" w14:textId="77777777" w:rsidR="00E264EB" w:rsidRPr="00AD6945" w:rsidRDefault="00E264EB" w:rsidP="00E264EB">
      <w:pPr>
        <w:spacing w:before="120"/>
        <w:ind w:left="1134"/>
        <w:jc w:val="both"/>
        <w:rPr>
          <w:rFonts w:ascii="Arial" w:hAnsi="Arial"/>
          <w:i/>
          <w:color w:val="000000" w:themeColor="text1"/>
          <w:sz w:val="20"/>
          <w:lang w:val="it-IT"/>
        </w:rPr>
      </w:pPr>
      <w:bookmarkStart w:id="2" w:name="_Int_TkJin9AS"/>
    </w:p>
    <w:p w14:paraId="7F863FE2" w14:textId="1B60CD1E" w:rsidR="007012A8" w:rsidRPr="00AD6945" w:rsidRDefault="00F02F12" w:rsidP="00E264EB">
      <w:pPr>
        <w:spacing w:before="120"/>
        <w:ind w:left="1134"/>
        <w:jc w:val="both"/>
        <w:rPr>
          <w:rFonts w:ascii="Arial" w:hAnsi="Arial"/>
          <w:i/>
          <w:color w:val="000000" w:themeColor="text1"/>
          <w:sz w:val="20"/>
          <w:lang w:val="it-IT"/>
        </w:rPr>
      </w:pPr>
      <w:r w:rsidRPr="00AD6945">
        <w:rPr>
          <w:rFonts w:ascii="Arial" w:eastAsia="Arial" w:hAnsi="Arial" w:cs="Arial"/>
          <w:i/>
          <w:color w:val="000000" w:themeColor="text1"/>
          <w:sz w:val="20"/>
          <w:lang w:val="it-IT"/>
        </w:rPr>
        <w:t>Per quanto riguarda il secondo trimestre</w:t>
      </w:r>
      <w:r w:rsidR="007012A8" w:rsidRPr="00AD6945">
        <w:rPr>
          <w:rFonts w:ascii="Arial" w:eastAsia="Arial" w:hAnsi="Arial" w:cs="Arial"/>
          <w:i/>
          <w:color w:val="000000" w:themeColor="text1"/>
          <w:sz w:val="20"/>
          <w:lang w:val="it-IT"/>
        </w:rPr>
        <w:t>,</w:t>
      </w:r>
      <w:r w:rsidRPr="00AD6945">
        <w:rPr>
          <w:rFonts w:ascii="Arial" w:eastAsia="Arial" w:hAnsi="Arial" w:cs="Arial"/>
          <w:i/>
          <w:color w:val="000000" w:themeColor="text1"/>
          <w:sz w:val="20"/>
          <w:lang w:val="it-IT"/>
        </w:rPr>
        <w:t xml:space="preserve"> in un contesto di </w:t>
      </w:r>
      <w:r w:rsidR="00F778E1" w:rsidRPr="00AD6945">
        <w:rPr>
          <w:rFonts w:ascii="Arial" w:eastAsia="Arial" w:hAnsi="Arial" w:cs="Arial"/>
          <w:i/>
          <w:color w:val="000000" w:themeColor="text1"/>
          <w:sz w:val="20"/>
          <w:lang w:val="it-IT"/>
        </w:rPr>
        <w:t xml:space="preserve">grandi </w:t>
      </w:r>
      <w:r w:rsidRPr="00AD6945">
        <w:rPr>
          <w:rFonts w:ascii="Arial" w:eastAsia="Arial" w:hAnsi="Arial" w:cs="Arial"/>
          <w:i/>
          <w:color w:val="000000" w:themeColor="text1"/>
          <w:sz w:val="20"/>
          <w:lang w:val="it-IT"/>
        </w:rPr>
        <w:t xml:space="preserve">incertezze </w:t>
      </w:r>
      <w:r w:rsidR="009921CE" w:rsidRPr="00AD6945">
        <w:rPr>
          <w:rFonts w:ascii="Arial" w:eastAsia="Arial" w:hAnsi="Arial" w:cs="Arial"/>
          <w:i/>
          <w:color w:val="000000" w:themeColor="text1"/>
          <w:sz w:val="20"/>
          <w:lang w:val="it-IT"/>
        </w:rPr>
        <w:t xml:space="preserve">sulla situazione economica e geopolitica </w:t>
      </w:r>
      <w:r w:rsidRPr="00AD6945">
        <w:rPr>
          <w:rFonts w:ascii="Arial" w:eastAsia="Arial" w:hAnsi="Arial" w:cs="Arial"/>
          <w:i/>
          <w:color w:val="000000" w:themeColor="text1"/>
          <w:sz w:val="20"/>
          <w:lang w:val="it-IT"/>
        </w:rPr>
        <w:t xml:space="preserve">globale </w:t>
      </w:r>
      <w:r w:rsidR="00DD2F7C" w:rsidRPr="00AD6945">
        <w:rPr>
          <w:rFonts w:ascii="Arial" w:eastAsia="Arial" w:hAnsi="Arial" w:cs="Arial"/>
          <w:i/>
          <w:color w:val="000000" w:themeColor="text1"/>
          <w:sz w:val="20"/>
          <w:lang w:val="it-IT"/>
        </w:rPr>
        <w:t>e tenendo conto dell</w:t>
      </w:r>
      <w:r w:rsidR="00E67B07" w:rsidRPr="00AD6945">
        <w:rPr>
          <w:rFonts w:ascii="Arial" w:eastAsia="Arial" w:hAnsi="Arial" w:cs="Arial"/>
          <w:i/>
          <w:color w:val="000000" w:themeColor="text1"/>
          <w:sz w:val="20"/>
          <w:lang w:val="it-IT"/>
        </w:rPr>
        <w:t xml:space="preserve">'elevato </w:t>
      </w:r>
      <w:r w:rsidR="00DD2F7C" w:rsidRPr="00AD6945">
        <w:rPr>
          <w:rFonts w:ascii="Arial" w:eastAsia="Arial" w:hAnsi="Arial" w:cs="Arial"/>
          <w:i/>
          <w:color w:val="000000" w:themeColor="text1"/>
          <w:sz w:val="20"/>
          <w:lang w:val="it-IT"/>
        </w:rPr>
        <w:t xml:space="preserve">livello di attività in </w:t>
      </w:r>
      <w:r w:rsidR="004B6AC9" w:rsidRPr="00AD6945">
        <w:rPr>
          <w:rFonts w:ascii="Arial" w:eastAsia="Arial" w:hAnsi="Arial" w:cs="Arial"/>
          <w:i/>
          <w:color w:val="000000" w:themeColor="text1"/>
          <w:sz w:val="20"/>
          <w:lang w:val="it-IT"/>
        </w:rPr>
        <w:t xml:space="preserve">relazione ai Giochi Olimpici di Parigi e a Euro UEFA </w:t>
      </w:r>
      <w:r w:rsidR="00315580" w:rsidRPr="00AD6945">
        <w:rPr>
          <w:rFonts w:ascii="Arial" w:eastAsia="Arial" w:hAnsi="Arial" w:cs="Arial"/>
          <w:i/>
          <w:color w:val="000000" w:themeColor="text1"/>
          <w:sz w:val="20"/>
          <w:lang w:val="it-IT"/>
        </w:rPr>
        <w:t xml:space="preserve">2024 </w:t>
      </w:r>
      <w:r w:rsidR="00704ECA" w:rsidRPr="00AD6945">
        <w:rPr>
          <w:rFonts w:ascii="Arial" w:eastAsia="Arial" w:hAnsi="Arial" w:cs="Arial"/>
          <w:i/>
          <w:color w:val="000000" w:themeColor="text1"/>
          <w:sz w:val="20"/>
          <w:lang w:val="it-IT"/>
        </w:rPr>
        <w:t xml:space="preserve">nel </w:t>
      </w:r>
      <w:r w:rsidR="00E67B07" w:rsidRPr="00AD6945">
        <w:rPr>
          <w:rFonts w:ascii="Arial" w:eastAsia="Arial" w:hAnsi="Arial" w:cs="Arial"/>
          <w:i/>
          <w:color w:val="000000" w:themeColor="text1"/>
          <w:sz w:val="20"/>
          <w:lang w:val="it-IT"/>
        </w:rPr>
        <w:t xml:space="preserve">secondo </w:t>
      </w:r>
      <w:r w:rsidR="00CD130B" w:rsidRPr="00AD6945">
        <w:rPr>
          <w:rFonts w:ascii="Arial" w:eastAsia="Arial" w:hAnsi="Arial" w:cs="Arial"/>
          <w:i/>
          <w:color w:val="000000" w:themeColor="text1"/>
          <w:sz w:val="20"/>
          <w:lang w:val="it-IT"/>
        </w:rPr>
        <w:t xml:space="preserve">e </w:t>
      </w:r>
      <w:r w:rsidR="00E67B07" w:rsidRPr="00AD6945">
        <w:rPr>
          <w:rFonts w:ascii="Arial" w:eastAsia="Arial" w:hAnsi="Arial" w:cs="Arial"/>
          <w:i/>
          <w:color w:val="000000" w:themeColor="text1"/>
          <w:sz w:val="20"/>
          <w:lang w:val="it-IT"/>
        </w:rPr>
        <w:t xml:space="preserve">terzo </w:t>
      </w:r>
      <w:r w:rsidR="00704ECA" w:rsidRPr="00AD6945">
        <w:rPr>
          <w:rFonts w:ascii="Arial" w:eastAsia="Arial" w:hAnsi="Arial" w:cs="Arial"/>
          <w:i/>
          <w:color w:val="000000" w:themeColor="text1"/>
          <w:sz w:val="20"/>
          <w:lang w:val="it-IT"/>
        </w:rPr>
        <w:t xml:space="preserve">trimestre </w:t>
      </w:r>
      <w:r w:rsidR="00CD130B" w:rsidRPr="00AD6945">
        <w:rPr>
          <w:rFonts w:ascii="Arial" w:eastAsia="Arial" w:hAnsi="Arial" w:cs="Arial"/>
          <w:i/>
          <w:color w:val="000000" w:themeColor="text1"/>
          <w:sz w:val="20"/>
          <w:lang w:val="it-IT"/>
        </w:rPr>
        <w:t xml:space="preserve">dello scorso anno, </w:t>
      </w:r>
      <w:r w:rsidR="005F5C48">
        <w:rPr>
          <w:rFonts w:ascii="Arial" w:eastAsia="Arial" w:hAnsi="Arial" w:cs="Arial"/>
          <w:i/>
          <w:color w:val="000000" w:themeColor="text1"/>
          <w:sz w:val="20"/>
          <w:lang w:val="it-IT"/>
        </w:rPr>
        <w:t>p</w:t>
      </w:r>
      <w:r w:rsidR="007012A8" w:rsidRPr="00AD6945">
        <w:rPr>
          <w:rFonts w:ascii="Arial" w:eastAsia="Arial" w:hAnsi="Arial" w:cs="Arial"/>
          <w:i/>
          <w:color w:val="000000" w:themeColor="text1"/>
          <w:sz w:val="20"/>
          <w:lang w:val="it-IT"/>
        </w:rPr>
        <w:t xml:space="preserve">revediamo </w:t>
      </w:r>
      <w:r w:rsidR="00F841B2">
        <w:rPr>
          <w:rFonts w:ascii="Arial" w:eastAsia="Arial" w:hAnsi="Arial" w:cs="Arial"/>
          <w:i/>
          <w:color w:val="000000" w:themeColor="text1"/>
          <w:sz w:val="20"/>
          <w:lang w:val="it-IT"/>
        </w:rPr>
        <w:t xml:space="preserve">ora </w:t>
      </w:r>
      <w:r w:rsidR="007012A8" w:rsidRPr="00AD6945">
        <w:rPr>
          <w:rFonts w:ascii="Arial" w:eastAsia="Arial" w:hAnsi="Arial" w:cs="Arial"/>
          <w:i/>
          <w:color w:val="000000" w:themeColor="text1"/>
          <w:sz w:val="20"/>
          <w:lang w:val="it-IT"/>
        </w:rPr>
        <w:t xml:space="preserve">per il secondo trimestre del 2025 una </w:t>
      </w:r>
      <w:r w:rsidR="00E67B07" w:rsidRPr="00AD6945">
        <w:rPr>
          <w:rFonts w:ascii="Arial" w:eastAsia="Arial" w:hAnsi="Arial" w:cs="Arial"/>
          <w:i/>
          <w:color w:val="000000" w:themeColor="text1"/>
          <w:sz w:val="20"/>
          <w:lang w:val="it-IT"/>
        </w:rPr>
        <w:t>leggera crescita organica</w:t>
      </w:r>
      <w:r w:rsidR="00E960C6" w:rsidRPr="00AD6945">
        <w:rPr>
          <w:rFonts w:ascii="Arial" w:eastAsia="Arial" w:hAnsi="Arial" w:cs="Arial"/>
          <w:i/>
          <w:color w:val="000000" w:themeColor="text1"/>
          <w:sz w:val="20"/>
          <w:lang w:val="it-IT"/>
        </w:rPr>
        <w:t xml:space="preserve">, </w:t>
      </w:r>
      <w:r w:rsidR="00E960C6" w:rsidRPr="00E918C6">
        <w:rPr>
          <w:rFonts w:ascii="Arial" w:eastAsia="Arial" w:hAnsi="Arial" w:cs="Arial"/>
          <w:iCs/>
          <w:color w:val="000000" w:themeColor="text1"/>
          <w:sz w:val="20"/>
          <w:lang w:val="it-IT"/>
        </w:rPr>
        <w:t>"</w:t>
      </w:r>
      <w:r w:rsidR="00AD6945" w:rsidRPr="00E918C6">
        <w:rPr>
          <w:rFonts w:ascii="Arial" w:eastAsia="Arial" w:hAnsi="Arial" w:cs="Arial"/>
          <w:iCs/>
          <w:color w:val="000000" w:themeColor="text1"/>
          <w:sz w:val="20"/>
          <w:lang w:val="it-IT"/>
        </w:rPr>
        <w:t>low single digit</w:t>
      </w:r>
      <w:r w:rsidR="00E960C6" w:rsidRPr="00E918C6">
        <w:rPr>
          <w:rFonts w:ascii="Arial" w:eastAsia="Arial" w:hAnsi="Arial" w:cs="Arial"/>
          <w:iCs/>
          <w:color w:val="000000" w:themeColor="text1"/>
          <w:sz w:val="20"/>
          <w:lang w:val="it-IT"/>
        </w:rPr>
        <w:t>"</w:t>
      </w:r>
      <w:r w:rsidR="00E960C6" w:rsidRPr="00AD6945">
        <w:rPr>
          <w:rFonts w:ascii="Arial" w:eastAsia="Arial" w:hAnsi="Arial" w:cs="Arial"/>
          <w:i/>
          <w:color w:val="000000" w:themeColor="text1"/>
          <w:sz w:val="20"/>
          <w:lang w:val="it-IT"/>
        </w:rPr>
        <w:t xml:space="preserve">, </w:t>
      </w:r>
      <w:r w:rsidR="00AD6945">
        <w:rPr>
          <w:rFonts w:ascii="Arial" w:eastAsia="Arial" w:hAnsi="Arial" w:cs="Arial"/>
          <w:i/>
          <w:color w:val="000000" w:themeColor="text1"/>
          <w:sz w:val="20"/>
          <w:lang w:val="it-IT"/>
        </w:rPr>
        <w:t>del fatturato</w:t>
      </w:r>
      <w:r w:rsidR="005C4B07" w:rsidRPr="00AD6945">
        <w:rPr>
          <w:rFonts w:ascii="Arial" w:eastAsia="Arial" w:hAnsi="Arial" w:cs="Arial"/>
          <w:i/>
          <w:color w:val="000000" w:themeColor="text1"/>
          <w:sz w:val="20"/>
          <w:lang w:val="it-IT"/>
        </w:rPr>
        <w:t xml:space="preserve">, con </w:t>
      </w:r>
      <w:r w:rsidR="00E918C6" w:rsidRPr="00AD6945">
        <w:rPr>
          <w:rFonts w:ascii="Arial" w:eastAsia="Arial" w:hAnsi="Arial" w:cs="Arial"/>
          <w:i/>
          <w:color w:val="000000" w:themeColor="text1"/>
          <w:sz w:val="20"/>
          <w:lang w:val="it-IT"/>
        </w:rPr>
        <w:t xml:space="preserve">attualmente </w:t>
      </w:r>
      <w:r w:rsidR="00E918C6">
        <w:rPr>
          <w:rFonts w:ascii="Arial" w:eastAsia="Arial" w:hAnsi="Arial" w:cs="Arial"/>
          <w:i/>
          <w:color w:val="000000" w:themeColor="text1"/>
          <w:sz w:val="20"/>
          <w:lang w:val="it-IT"/>
        </w:rPr>
        <w:t>le vendite</w:t>
      </w:r>
      <w:r w:rsidR="000712CD" w:rsidRPr="00AD6945">
        <w:rPr>
          <w:rFonts w:ascii="Arial" w:eastAsia="Arial" w:hAnsi="Arial" w:cs="Arial"/>
          <w:i/>
          <w:color w:val="000000" w:themeColor="text1"/>
          <w:sz w:val="20"/>
          <w:lang w:val="it-IT"/>
        </w:rPr>
        <w:t xml:space="preserve"> </w:t>
      </w:r>
      <w:r w:rsidR="00E37B91" w:rsidRPr="00AD6945">
        <w:rPr>
          <w:rFonts w:ascii="Arial" w:eastAsia="Arial" w:hAnsi="Arial" w:cs="Arial"/>
          <w:i/>
          <w:color w:val="000000" w:themeColor="text1"/>
          <w:sz w:val="20"/>
          <w:lang w:val="it-IT"/>
        </w:rPr>
        <w:t>dell</w:t>
      </w:r>
      <w:r w:rsidR="005C4B07" w:rsidRPr="00AD6945">
        <w:rPr>
          <w:rFonts w:ascii="Arial" w:eastAsia="Arial" w:hAnsi="Arial" w:cs="Arial"/>
          <w:i/>
          <w:color w:val="000000" w:themeColor="text1"/>
          <w:sz w:val="20"/>
          <w:lang w:val="it-IT"/>
        </w:rPr>
        <w:t xml:space="preserve">'Arredo Urbano </w:t>
      </w:r>
      <w:r w:rsidR="00F86A39" w:rsidRPr="00AD6945">
        <w:rPr>
          <w:rFonts w:ascii="Arial" w:eastAsia="Arial" w:hAnsi="Arial" w:cs="Arial"/>
          <w:i/>
          <w:color w:val="000000" w:themeColor="text1"/>
          <w:sz w:val="20"/>
          <w:lang w:val="it-IT"/>
        </w:rPr>
        <w:t xml:space="preserve">in </w:t>
      </w:r>
      <w:r w:rsidR="003144C1" w:rsidRPr="00AD6945">
        <w:rPr>
          <w:rFonts w:ascii="Arial" w:eastAsia="Arial" w:hAnsi="Arial" w:cs="Arial"/>
          <w:i/>
          <w:color w:val="000000" w:themeColor="text1"/>
          <w:sz w:val="20"/>
          <w:lang w:val="it-IT"/>
        </w:rPr>
        <w:t xml:space="preserve">costante </w:t>
      </w:r>
      <w:r w:rsidR="00540815" w:rsidRPr="00AD6945">
        <w:rPr>
          <w:rFonts w:ascii="Arial" w:eastAsia="Arial" w:hAnsi="Arial" w:cs="Arial"/>
          <w:i/>
          <w:color w:val="000000" w:themeColor="text1"/>
          <w:sz w:val="20"/>
          <w:lang w:val="it-IT"/>
        </w:rPr>
        <w:t>crescita</w:t>
      </w:r>
      <w:r w:rsidR="00F86A39" w:rsidRPr="00AD6945">
        <w:rPr>
          <w:rFonts w:ascii="Arial" w:eastAsia="Arial" w:hAnsi="Arial" w:cs="Arial"/>
          <w:i/>
          <w:color w:val="000000" w:themeColor="text1"/>
          <w:sz w:val="20"/>
          <w:lang w:val="it-IT"/>
        </w:rPr>
        <w:t xml:space="preserve">, </w:t>
      </w:r>
      <w:r w:rsidR="00F86A39" w:rsidRPr="00E918C6">
        <w:rPr>
          <w:rFonts w:ascii="Arial" w:eastAsia="Arial" w:hAnsi="Arial" w:cs="Arial"/>
          <w:iCs/>
          <w:color w:val="000000" w:themeColor="text1"/>
          <w:sz w:val="20"/>
          <w:lang w:val="it-IT"/>
        </w:rPr>
        <w:t>"</w:t>
      </w:r>
      <w:r w:rsidR="005F5C48" w:rsidRPr="00E918C6">
        <w:rPr>
          <w:rFonts w:ascii="Arial" w:eastAsia="Arial" w:hAnsi="Arial" w:cs="Arial"/>
          <w:iCs/>
          <w:color w:val="000000" w:themeColor="text1"/>
          <w:sz w:val="20"/>
          <w:lang w:val="it-IT"/>
        </w:rPr>
        <w:t>mid-single digit</w:t>
      </w:r>
      <w:r w:rsidR="00F86A39" w:rsidRPr="00E918C6">
        <w:rPr>
          <w:rFonts w:ascii="Arial" w:eastAsia="Arial" w:hAnsi="Arial" w:cs="Arial"/>
          <w:iCs/>
          <w:color w:val="000000" w:themeColor="text1"/>
          <w:sz w:val="20"/>
          <w:lang w:val="it-IT"/>
        </w:rPr>
        <w:t>"</w:t>
      </w:r>
      <w:r w:rsidR="000712CD" w:rsidRPr="00AD6945">
        <w:rPr>
          <w:rFonts w:ascii="Arial" w:eastAsia="Arial" w:hAnsi="Arial" w:cs="Arial"/>
          <w:i/>
          <w:color w:val="000000" w:themeColor="text1"/>
          <w:sz w:val="20"/>
          <w:lang w:val="it-IT"/>
        </w:rPr>
        <w:t xml:space="preserve">, </w:t>
      </w:r>
      <w:r w:rsidR="00FF3122" w:rsidRPr="00AD6945">
        <w:rPr>
          <w:rFonts w:ascii="Arial" w:eastAsia="Arial" w:hAnsi="Arial" w:cs="Arial"/>
          <w:i/>
          <w:color w:val="000000" w:themeColor="text1"/>
          <w:sz w:val="20"/>
          <w:lang w:val="it-IT"/>
        </w:rPr>
        <w:t>mentre quell</w:t>
      </w:r>
      <w:r w:rsidR="00E918C6">
        <w:rPr>
          <w:rFonts w:ascii="Arial" w:eastAsia="Arial" w:hAnsi="Arial" w:cs="Arial"/>
          <w:i/>
          <w:color w:val="000000" w:themeColor="text1"/>
          <w:sz w:val="20"/>
          <w:lang w:val="it-IT"/>
        </w:rPr>
        <w:t>e</w:t>
      </w:r>
      <w:r w:rsidR="00FF3122" w:rsidRPr="00AD6945">
        <w:rPr>
          <w:rFonts w:ascii="Arial" w:eastAsia="Arial" w:hAnsi="Arial" w:cs="Arial"/>
          <w:i/>
          <w:color w:val="000000" w:themeColor="text1"/>
          <w:sz w:val="20"/>
          <w:lang w:val="it-IT"/>
        </w:rPr>
        <w:t xml:space="preserve"> </w:t>
      </w:r>
      <w:r w:rsidR="000712CD" w:rsidRPr="00AD6945">
        <w:rPr>
          <w:rFonts w:ascii="Arial" w:eastAsia="Arial" w:hAnsi="Arial" w:cs="Arial"/>
          <w:i/>
          <w:color w:val="000000" w:themeColor="text1"/>
          <w:sz w:val="20"/>
          <w:lang w:val="it-IT"/>
        </w:rPr>
        <w:t xml:space="preserve">dei </w:t>
      </w:r>
      <w:r w:rsidR="008F1490" w:rsidRPr="00AD6945">
        <w:rPr>
          <w:rFonts w:ascii="Arial" w:eastAsia="Arial" w:hAnsi="Arial" w:cs="Arial"/>
          <w:i/>
          <w:color w:val="000000" w:themeColor="text1"/>
          <w:sz w:val="20"/>
          <w:lang w:val="it-IT"/>
        </w:rPr>
        <w:t>Trasporti e de</w:t>
      </w:r>
      <w:r w:rsidR="00AD6945">
        <w:rPr>
          <w:rFonts w:ascii="Arial" w:eastAsia="Arial" w:hAnsi="Arial" w:cs="Arial"/>
          <w:i/>
          <w:color w:val="000000" w:themeColor="text1"/>
          <w:sz w:val="20"/>
          <w:lang w:val="it-IT"/>
        </w:rPr>
        <w:t>l Affission</w:t>
      </w:r>
      <w:r w:rsidR="005F5C48">
        <w:rPr>
          <w:rFonts w:ascii="Arial" w:eastAsia="Arial" w:hAnsi="Arial" w:cs="Arial"/>
          <w:i/>
          <w:color w:val="000000" w:themeColor="text1"/>
          <w:sz w:val="20"/>
          <w:lang w:val="it-IT"/>
        </w:rPr>
        <w:t>e</w:t>
      </w:r>
      <w:r w:rsidR="00AD6945">
        <w:rPr>
          <w:rFonts w:ascii="Arial" w:eastAsia="Arial" w:hAnsi="Arial" w:cs="Arial"/>
          <w:i/>
          <w:color w:val="000000" w:themeColor="text1"/>
          <w:sz w:val="20"/>
          <w:lang w:val="it-IT"/>
        </w:rPr>
        <w:t xml:space="preserve"> </w:t>
      </w:r>
      <w:r w:rsidR="003241EB" w:rsidRPr="00AD6945">
        <w:rPr>
          <w:rFonts w:ascii="Arial" w:eastAsia="Arial" w:hAnsi="Arial" w:cs="Arial"/>
          <w:i/>
          <w:color w:val="000000" w:themeColor="text1"/>
          <w:sz w:val="20"/>
          <w:lang w:val="it-IT"/>
        </w:rPr>
        <w:t xml:space="preserve">sono </w:t>
      </w:r>
      <w:r w:rsidR="002D08AF" w:rsidRPr="00AD6945">
        <w:rPr>
          <w:rFonts w:ascii="Arial" w:eastAsia="Arial" w:hAnsi="Arial" w:cs="Arial"/>
          <w:i/>
          <w:color w:val="000000" w:themeColor="text1"/>
          <w:sz w:val="20"/>
          <w:lang w:val="it-IT"/>
        </w:rPr>
        <w:t>stabili.</w:t>
      </w:r>
      <w:r w:rsidR="007642D2" w:rsidRPr="00AD6945">
        <w:rPr>
          <w:rFonts w:ascii="Arial" w:eastAsia="Arial" w:hAnsi="Arial" w:cs="Arial"/>
          <w:i/>
          <w:color w:val="000000" w:themeColor="text1"/>
          <w:sz w:val="20"/>
          <w:lang w:val="it-IT"/>
        </w:rPr>
        <w:t>"</w:t>
      </w:r>
    </w:p>
    <w:bookmarkEnd w:id="2"/>
    <w:p w14:paraId="7F32D753" w14:textId="77777777" w:rsidR="00E264EB" w:rsidRPr="00AD6945" w:rsidRDefault="00E264EB" w:rsidP="00E264EB">
      <w:pPr>
        <w:ind w:left="1134"/>
        <w:jc w:val="both"/>
        <w:rPr>
          <w:rFonts w:ascii="Arial" w:hAnsi="Arial"/>
          <w:i/>
          <w:iCs/>
          <w:sz w:val="18"/>
          <w:szCs w:val="18"/>
          <w:lang w:val="it-IT"/>
        </w:rPr>
      </w:pPr>
    </w:p>
    <w:p w14:paraId="39238BE8" w14:textId="77777777" w:rsidR="00501B27" w:rsidRPr="00AD6945" w:rsidRDefault="00501B27" w:rsidP="00E264EB">
      <w:pPr>
        <w:ind w:left="1134"/>
        <w:jc w:val="both"/>
        <w:rPr>
          <w:rFonts w:ascii="Arial" w:hAnsi="Arial"/>
          <w:i/>
          <w:iCs/>
          <w:sz w:val="18"/>
          <w:szCs w:val="18"/>
          <w:lang w:val="it-IT"/>
        </w:rPr>
      </w:pPr>
    </w:p>
    <w:p w14:paraId="6F143884" w14:textId="77777777" w:rsidR="004D4EA5" w:rsidRPr="00AD6945" w:rsidRDefault="004D4EA5" w:rsidP="00E264EB">
      <w:pPr>
        <w:ind w:left="1134"/>
        <w:jc w:val="both"/>
        <w:rPr>
          <w:rFonts w:ascii="Arial" w:hAnsi="Arial"/>
          <w:i/>
          <w:iCs/>
          <w:sz w:val="18"/>
          <w:szCs w:val="18"/>
          <w:lang w:val="it-IT"/>
        </w:rPr>
      </w:pPr>
    </w:p>
    <w:p w14:paraId="5417F319" w14:textId="77777777" w:rsidR="00656AA7" w:rsidRPr="00AD6945" w:rsidRDefault="00656AA7" w:rsidP="00E264EB">
      <w:pPr>
        <w:ind w:left="1134"/>
        <w:jc w:val="both"/>
        <w:rPr>
          <w:rFonts w:ascii="Arial" w:hAnsi="Arial"/>
          <w:i/>
          <w:iCs/>
          <w:sz w:val="18"/>
          <w:szCs w:val="18"/>
          <w:lang w:val="it-IT"/>
        </w:rPr>
      </w:pPr>
    </w:p>
    <w:p w14:paraId="5725394A" w14:textId="0A1F9303" w:rsidR="004D4EA5" w:rsidRPr="00AD6945" w:rsidRDefault="004924D8" w:rsidP="00501B27">
      <w:pPr>
        <w:ind w:left="1134"/>
        <w:jc w:val="both"/>
        <w:rPr>
          <w:rFonts w:ascii="Arial" w:hAnsi="Arial"/>
          <w:i/>
          <w:iCs/>
          <w:sz w:val="18"/>
          <w:szCs w:val="18"/>
          <w:lang w:val="it-IT"/>
        </w:rPr>
      </w:pPr>
      <w:r w:rsidRPr="00AD6945">
        <w:rPr>
          <w:rFonts w:ascii="Arial" w:hAnsi="Arial"/>
          <w:i/>
          <w:iCs/>
          <w:sz w:val="18"/>
          <w:szCs w:val="18"/>
          <w:lang w:val="it-IT"/>
        </w:rPr>
        <w:t>A seguito dell'</w:t>
      </w:r>
      <w:r w:rsidR="0083786F" w:rsidRPr="00AD6945">
        <w:rPr>
          <w:rFonts w:ascii="Arial" w:hAnsi="Arial"/>
          <w:i/>
          <w:iCs/>
          <w:sz w:val="18"/>
          <w:szCs w:val="18"/>
          <w:lang w:val="it-IT"/>
        </w:rPr>
        <w:t>applicazione dell'</w:t>
      </w:r>
      <w:r w:rsidRPr="00AD6945">
        <w:rPr>
          <w:rFonts w:ascii="Arial" w:hAnsi="Arial"/>
          <w:i/>
          <w:iCs/>
          <w:sz w:val="18"/>
          <w:szCs w:val="18"/>
          <w:lang w:val="it-IT"/>
        </w:rPr>
        <w:t xml:space="preserve">IFRS 11 </w:t>
      </w:r>
      <w:r w:rsidR="005F5F4E" w:rsidRPr="00AD6945">
        <w:rPr>
          <w:rFonts w:ascii="Arial" w:hAnsi="Arial"/>
          <w:i/>
          <w:iCs/>
          <w:sz w:val="18"/>
          <w:szCs w:val="18"/>
          <w:lang w:val="it-IT"/>
        </w:rPr>
        <w:t xml:space="preserve">a partire dal </w:t>
      </w:r>
      <w:r w:rsidRPr="00AD6945">
        <w:rPr>
          <w:rFonts w:ascii="Arial" w:hAnsi="Arial"/>
          <w:i/>
          <w:iCs/>
          <w:sz w:val="18"/>
          <w:szCs w:val="18"/>
          <w:lang w:val="it-IT"/>
        </w:rPr>
        <w:t>1</w:t>
      </w:r>
      <w:r w:rsidR="00AD6945">
        <w:rPr>
          <w:rFonts w:ascii="Arial" w:hAnsi="Arial"/>
          <w:i/>
          <w:iCs/>
          <w:sz w:val="18"/>
          <w:szCs w:val="18"/>
          <w:vertAlign w:val="superscript"/>
          <w:lang w:val="it-IT"/>
        </w:rPr>
        <w:t xml:space="preserve">° </w:t>
      </w:r>
      <w:r w:rsidRPr="00AD6945">
        <w:rPr>
          <w:rFonts w:ascii="Arial" w:hAnsi="Arial"/>
          <w:i/>
          <w:iCs/>
          <w:sz w:val="18"/>
          <w:szCs w:val="18"/>
          <w:lang w:val="it-IT"/>
        </w:rPr>
        <w:t xml:space="preserve">gennaio 2014, </w:t>
      </w:r>
      <w:r w:rsidR="00AD6945">
        <w:rPr>
          <w:rFonts w:ascii="Arial" w:hAnsi="Arial"/>
          <w:b/>
          <w:bCs/>
          <w:i/>
          <w:iCs/>
          <w:sz w:val="18"/>
          <w:szCs w:val="18"/>
          <w:lang w:val="it-IT"/>
        </w:rPr>
        <w:t>i numeri del fatturato</w:t>
      </w:r>
      <w:r w:rsidR="009460F6" w:rsidRPr="00AD6945">
        <w:rPr>
          <w:rFonts w:ascii="Arial" w:hAnsi="Arial"/>
          <w:b/>
          <w:bCs/>
          <w:i/>
          <w:iCs/>
          <w:sz w:val="18"/>
          <w:szCs w:val="18"/>
          <w:lang w:val="it-IT"/>
        </w:rPr>
        <w:t xml:space="preserve"> presentati </w:t>
      </w:r>
      <w:r w:rsidR="005F5F4E" w:rsidRPr="00AD6945">
        <w:rPr>
          <w:rFonts w:ascii="Arial" w:hAnsi="Arial"/>
          <w:b/>
          <w:bCs/>
          <w:i/>
          <w:iCs/>
          <w:sz w:val="18"/>
          <w:szCs w:val="18"/>
          <w:lang w:val="it-IT"/>
        </w:rPr>
        <w:t xml:space="preserve">e commentati </w:t>
      </w:r>
      <w:r w:rsidR="003B1B93" w:rsidRPr="00AD6945">
        <w:rPr>
          <w:rFonts w:ascii="Arial" w:hAnsi="Arial"/>
          <w:b/>
          <w:bCs/>
          <w:i/>
          <w:iCs/>
          <w:sz w:val="18"/>
          <w:szCs w:val="18"/>
          <w:lang w:val="it-IT"/>
        </w:rPr>
        <w:t xml:space="preserve">nel presente comunicato stampa </w:t>
      </w:r>
      <w:r w:rsidR="00667FBE" w:rsidRPr="00AD6945">
        <w:rPr>
          <w:rFonts w:ascii="Arial" w:hAnsi="Arial"/>
          <w:b/>
          <w:bCs/>
          <w:i/>
          <w:iCs/>
          <w:sz w:val="18"/>
          <w:szCs w:val="18"/>
          <w:lang w:val="it-IT"/>
        </w:rPr>
        <w:t xml:space="preserve">sono un </w:t>
      </w:r>
      <w:r w:rsidRPr="00AD6945">
        <w:rPr>
          <w:rFonts w:ascii="Arial" w:hAnsi="Arial"/>
          <w:b/>
          <w:bCs/>
          <w:i/>
          <w:iCs/>
          <w:sz w:val="18"/>
          <w:szCs w:val="18"/>
          <w:lang w:val="it-IT"/>
        </w:rPr>
        <w:t xml:space="preserve">indicatore alternativo di </w:t>
      </w:r>
      <w:r w:rsidR="009460F6" w:rsidRPr="00AD6945">
        <w:rPr>
          <w:rFonts w:ascii="Arial" w:hAnsi="Arial"/>
          <w:b/>
          <w:bCs/>
          <w:i/>
          <w:iCs/>
          <w:sz w:val="18"/>
          <w:szCs w:val="18"/>
          <w:lang w:val="it-IT"/>
        </w:rPr>
        <w:t>performance</w:t>
      </w:r>
      <w:bookmarkStart w:id="3" w:name="_Hlk197335191"/>
      <w:r w:rsidR="004C7541" w:rsidRPr="00AD6945">
        <w:rPr>
          <w:rFonts w:ascii="Arial" w:hAnsi="Arial"/>
          <w:b/>
          <w:bCs/>
          <w:i/>
          <w:iCs/>
          <w:sz w:val="18"/>
          <w:szCs w:val="18"/>
          <w:lang w:val="it-IT"/>
        </w:rPr>
        <w:t xml:space="preserve"> (</w:t>
      </w:r>
      <w:r w:rsidR="005756C4">
        <w:rPr>
          <w:rFonts w:ascii="Arial" w:hAnsi="Arial"/>
          <w:b/>
          <w:bCs/>
          <w:i/>
          <w:iCs/>
          <w:sz w:val="18"/>
          <w:szCs w:val="18"/>
          <w:lang w:val="it-IT"/>
        </w:rPr>
        <w:t>IAP</w:t>
      </w:r>
      <w:r w:rsidR="004C7541" w:rsidRPr="00AD6945">
        <w:rPr>
          <w:rFonts w:ascii="Arial" w:hAnsi="Arial"/>
          <w:b/>
          <w:bCs/>
          <w:i/>
          <w:iCs/>
          <w:sz w:val="18"/>
          <w:szCs w:val="18"/>
          <w:lang w:val="it-IT"/>
        </w:rPr>
        <w:t>)</w:t>
      </w:r>
      <w:bookmarkEnd w:id="3"/>
      <w:r w:rsidRPr="00AD6945">
        <w:rPr>
          <w:rFonts w:ascii="Arial" w:hAnsi="Arial"/>
          <w:i/>
          <w:iCs/>
          <w:sz w:val="18"/>
          <w:szCs w:val="18"/>
          <w:lang w:val="it-IT"/>
        </w:rPr>
        <w:t>, rettificato conto dell'impatto proporzionale delle società a controllo congiunto</w:t>
      </w:r>
      <w:r w:rsidR="00B020F8" w:rsidRPr="00AD6945">
        <w:rPr>
          <w:rFonts w:ascii="Arial" w:hAnsi="Arial"/>
          <w:i/>
          <w:iCs/>
          <w:sz w:val="18"/>
          <w:szCs w:val="18"/>
          <w:lang w:val="it-IT"/>
        </w:rPr>
        <w:t>, tranne quando indicato con</w:t>
      </w:r>
      <w:r w:rsidR="00AD6945">
        <w:rPr>
          <w:rFonts w:ascii="Arial" w:hAnsi="Arial"/>
          <w:i/>
          <w:iCs/>
          <w:sz w:val="18"/>
          <w:szCs w:val="18"/>
          <w:lang w:val="it-IT"/>
        </w:rPr>
        <w:t xml:space="preserve"> l</w:t>
      </w:r>
      <w:r w:rsidR="00B020F8" w:rsidRPr="00AD6945">
        <w:rPr>
          <w:rFonts w:ascii="Arial" w:hAnsi="Arial"/>
          <w:i/>
          <w:iCs/>
          <w:sz w:val="18"/>
          <w:szCs w:val="18"/>
          <w:lang w:val="it-IT"/>
        </w:rPr>
        <w:t>a dicitura IFRS</w:t>
      </w:r>
      <w:r w:rsidRPr="00AD6945">
        <w:rPr>
          <w:rFonts w:ascii="Arial" w:hAnsi="Arial"/>
          <w:i/>
          <w:iCs/>
          <w:sz w:val="18"/>
          <w:szCs w:val="18"/>
          <w:lang w:val="it-IT"/>
        </w:rPr>
        <w:t xml:space="preserve">. </w:t>
      </w:r>
    </w:p>
    <w:p w14:paraId="0AC07242" w14:textId="5D80D142" w:rsidR="00C475DE" w:rsidRDefault="004924D8" w:rsidP="00501B27">
      <w:pPr>
        <w:ind w:left="1134"/>
        <w:jc w:val="both"/>
        <w:rPr>
          <w:rFonts w:ascii="Arial" w:hAnsi="Arial"/>
          <w:i/>
          <w:iCs/>
          <w:spacing w:val="-4"/>
          <w:sz w:val="18"/>
          <w:szCs w:val="18"/>
          <w:lang w:val="it-IT"/>
        </w:rPr>
      </w:pPr>
      <w:r w:rsidRPr="00AD6945">
        <w:rPr>
          <w:rFonts w:ascii="Arial" w:hAnsi="Arial"/>
          <w:i/>
          <w:iCs/>
          <w:sz w:val="18"/>
          <w:szCs w:val="18"/>
          <w:lang w:val="it-IT"/>
        </w:rPr>
        <w:t>Si rimanda al paragrafo "Indicatori alternativi di performance</w:t>
      </w:r>
      <w:r w:rsidRPr="00AD6945">
        <w:rPr>
          <w:rFonts w:ascii="Arial" w:eastAsia="Calibri" w:hAnsi="Arial" w:cs="Calibri"/>
          <w:i/>
          <w:iCs/>
          <w:sz w:val="18"/>
          <w:szCs w:val="18"/>
          <w:lang w:val="it-IT"/>
        </w:rPr>
        <w:t xml:space="preserve">" a pagina </w:t>
      </w:r>
      <w:r w:rsidR="009460F6" w:rsidRPr="00AD6945">
        <w:rPr>
          <w:rFonts w:ascii="Arial" w:eastAsia="Calibri" w:hAnsi="Arial" w:cs="Calibri"/>
          <w:i/>
          <w:iCs/>
          <w:sz w:val="18"/>
          <w:szCs w:val="18"/>
          <w:lang w:val="it-IT"/>
        </w:rPr>
        <w:t xml:space="preserve">4 </w:t>
      </w:r>
      <w:r w:rsidR="00AD6945">
        <w:rPr>
          <w:rFonts w:ascii="Arial" w:eastAsia="Calibri" w:hAnsi="Arial" w:cs="Calibri"/>
          <w:i/>
          <w:iCs/>
          <w:sz w:val="18"/>
          <w:szCs w:val="18"/>
          <w:lang w:val="it-IT"/>
        </w:rPr>
        <w:t xml:space="preserve">del </w:t>
      </w:r>
      <w:r w:rsidRPr="00AD6945">
        <w:rPr>
          <w:rFonts w:ascii="Arial" w:eastAsia="Calibri" w:hAnsi="Arial" w:cs="Calibri"/>
          <w:i/>
          <w:iCs/>
          <w:sz w:val="18"/>
          <w:szCs w:val="18"/>
          <w:lang w:val="it-IT"/>
        </w:rPr>
        <w:t xml:space="preserve">presente comunicato stampa </w:t>
      </w:r>
      <w:r w:rsidRPr="00AD6945">
        <w:rPr>
          <w:rFonts w:ascii="Arial" w:hAnsi="Arial"/>
          <w:i/>
          <w:iCs/>
          <w:sz w:val="18"/>
          <w:szCs w:val="18"/>
          <w:lang w:val="it-IT"/>
        </w:rPr>
        <w:t>per</w:t>
      </w:r>
      <w:r w:rsidR="00AD6945">
        <w:rPr>
          <w:rFonts w:ascii="Arial" w:hAnsi="Arial"/>
          <w:i/>
          <w:iCs/>
          <w:sz w:val="18"/>
          <w:szCs w:val="18"/>
          <w:lang w:val="it-IT"/>
        </w:rPr>
        <w:t xml:space="preserve"> trovare</w:t>
      </w:r>
      <w:r w:rsidRPr="00AD6945">
        <w:rPr>
          <w:rFonts w:ascii="Arial" w:hAnsi="Arial"/>
          <w:i/>
          <w:iCs/>
          <w:sz w:val="18"/>
          <w:szCs w:val="18"/>
          <w:lang w:val="it-IT"/>
        </w:rPr>
        <w:t xml:space="preserve"> la definizione degli indicatori alternativi di performance </w:t>
      </w:r>
      <w:r w:rsidR="00AD6945">
        <w:rPr>
          <w:rFonts w:ascii="Arial" w:hAnsi="Arial"/>
          <w:i/>
          <w:iCs/>
          <w:sz w:val="18"/>
          <w:szCs w:val="18"/>
          <w:lang w:val="it-IT"/>
        </w:rPr>
        <w:t>oltre al</w:t>
      </w:r>
      <w:r w:rsidRPr="00AD6945">
        <w:rPr>
          <w:rFonts w:ascii="Arial" w:hAnsi="Arial"/>
          <w:i/>
          <w:iCs/>
          <w:sz w:val="18"/>
          <w:szCs w:val="18"/>
          <w:lang w:val="it-IT"/>
        </w:rPr>
        <w:t xml:space="preserve">la </w:t>
      </w:r>
      <w:r w:rsidR="0083786F" w:rsidRPr="00AD6945">
        <w:rPr>
          <w:rFonts w:ascii="Arial" w:hAnsi="Arial"/>
          <w:i/>
          <w:iCs/>
          <w:sz w:val="18"/>
          <w:szCs w:val="18"/>
          <w:lang w:val="it-IT"/>
        </w:rPr>
        <w:t xml:space="preserve">riconciliazione </w:t>
      </w:r>
      <w:r w:rsidRPr="00AD6945">
        <w:rPr>
          <w:rFonts w:ascii="Arial" w:hAnsi="Arial"/>
          <w:i/>
          <w:iCs/>
          <w:sz w:val="18"/>
          <w:szCs w:val="18"/>
          <w:lang w:val="it-IT"/>
        </w:rPr>
        <w:t xml:space="preserve">con i </w:t>
      </w:r>
      <w:r w:rsidR="0083786F" w:rsidRPr="00AD6945">
        <w:rPr>
          <w:rFonts w:ascii="Arial" w:hAnsi="Arial"/>
          <w:i/>
          <w:iCs/>
          <w:sz w:val="18"/>
          <w:szCs w:val="18"/>
          <w:lang w:val="it-IT"/>
        </w:rPr>
        <w:t xml:space="preserve">dati </w:t>
      </w:r>
      <w:r w:rsidRPr="00AD6945">
        <w:rPr>
          <w:rFonts w:ascii="Arial" w:hAnsi="Arial"/>
          <w:i/>
          <w:iCs/>
          <w:sz w:val="18"/>
          <w:szCs w:val="18"/>
          <w:lang w:val="it-IT"/>
        </w:rPr>
        <w:t xml:space="preserve">IFRS in conformità alle </w:t>
      </w:r>
      <w:r w:rsidR="0083786F" w:rsidRPr="00AD6945">
        <w:rPr>
          <w:rFonts w:ascii="Arial" w:hAnsi="Arial"/>
          <w:i/>
          <w:iCs/>
          <w:sz w:val="18"/>
          <w:szCs w:val="18"/>
          <w:lang w:val="it-IT"/>
        </w:rPr>
        <w:t xml:space="preserve">raccomandazioni </w:t>
      </w:r>
      <w:r w:rsidRPr="00AD6945">
        <w:rPr>
          <w:rFonts w:ascii="Arial" w:hAnsi="Arial"/>
          <w:i/>
          <w:iCs/>
          <w:sz w:val="18"/>
          <w:szCs w:val="18"/>
          <w:lang w:val="it-IT"/>
        </w:rPr>
        <w:t xml:space="preserve">dell'AMF. </w:t>
      </w:r>
      <w:r w:rsidRPr="00AD6945">
        <w:rPr>
          <w:rFonts w:ascii="Arial" w:hAnsi="Arial"/>
          <w:i/>
          <w:iCs/>
          <w:spacing w:val="-4"/>
          <w:sz w:val="18"/>
          <w:szCs w:val="18"/>
          <w:lang w:val="it-IT"/>
        </w:rPr>
        <w:t xml:space="preserve">I valori riportati nelle tabelle sono generalmente espressi in milioni di euro. La somma degli importi arrotondati o i calcoli delle variazioni possono </w:t>
      </w:r>
      <w:r w:rsidR="0083786F" w:rsidRPr="00AD6945">
        <w:rPr>
          <w:rFonts w:ascii="Arial" w:hAnsi="Arial"/>
          <w:i/>
          <w:iCs/>
          <w:spacing w:val="-4"/>
          <w:sz w:val="18"/>
          <w:szCs w:val="18"/>
          <w:lang w:val="it-IT"/>
        </w:rPr>
        <w:t>non essere significativi rispetto ai valori riportati.</w:t>
      </w:r>
    </w:p>
    <w:p w14:paraId="3E15873C" w14:textId="77777777" w:rsidR="00D472E1" w:rsidRDefault="00D472E1" w:rsidP="00501B27">
      <w:pPr>
        <w:ind w:left="1134"/>
        <w:jc w:val="both"/>
        <w:rPr>
          <w:rFonts w:ascii="Arial" w:hAnsi="Arial"/>
          <w:i/>
          <w:iCs/>
          <w:spacing w:val="-4"/>
          <w:sz w:val="18"/>
          <w:szCs w:val="18"/>
          <w:lang w:val="it-IT"/>
        </w:rPr>
      </w:pPr>
    </w:p>
    <w:p w14:paraId="099F3AC6" w14:textId="77777777" w:rsidR="00D472E1" w:rsidRDefault="00D472E1" w:rsidP="00501B27">
      <w:pPr>
        <w:ind w:left="1134"/>
        <w:jc w:val="both"/>
        <w:rPr>
          <w:rFonts w:ascii="Arial" w:hAnsi="Arial"/>
          <w:i/>
          <w:iCs/>
          <w:spacing w:val="-4"/>
          <w:sz w:val="18"/>
          <w:szCs w:val="18"/>
          <w:lang w:val="it-IT"/>
        </w:rPr>
      </w:pPr>
    </w:p>
    <w:p w14:paraId="5F5372E4" w14:textId="77777777" w:rsidR="005F5C48" w:rsidRPr="00AD6945" w:rsidRDefault="005F5C48" w:rsidP="00501B27">
      <w:pPr>
        <w:ind w:left="1134"/>
        <w:jc w:val="both"/>
        <w:rPr>
          <w:rFonts w:ascii="Arial" w:hAnsi="Arial"/>
          <w:i/>
          <w:iCs/>
          <w:spacing w:val="-4"/>
          <w:sz w:val="18"/>
          <w:szCs w:val="18"/>
          <w:lang w:val="it-IT"/>
        </w:rPr>
      </w:pPr>
    </w:p>
    <w:p w14:paraId="3C6562E5" w14:textId="248E4991" w:rsidR="00E264EB" w:rsidRPr="00AD6945" w:rsidRDefault="00AD6945" w:rsidP="00E264EB">
      <w:pPr>
        <w:ind w:left="1134"/>
        <w:jc w:val="center"/>
        <w:rPr>
          <w:rFonts w:ascii="Arial" w:eastAsia="Times New Roman" w:hAnsi="Arial" w:cs="Arial"/>
          <w:b/>
          <w:bCs/>
          <w:iCs/>
          <w:color w:val="163B5C"/>
          <w:sz w:val="32"/>
          <w:szCs w:val="32"/>
          <w:lang w:val="it-IT"/>
        </w:rPr>
      </w:pPr>
      <w:r>
        <w:rPr>
          <w:rFonts w:ascii="Arial" w:eastAsia="Times New Roman" w:hAnsi="Arial" w:cs="Arial"/>
          <w:b/>
          <w:bCs/>
          <w:iCs/>
          <w:color w:val="163B5C"/>
          <w:sz w:val="32"/>
          <w:szCs w:val="32"/>
          <w:lang w:val="it-IT"/>
        </w:rPr>
        <w:t>Fatturato</w:t>
      </w:r>
    </w:p>
    <w:p w14:paraId="195F1F7F" w14:textId="77777777" w:rsidR="00252C89" w:rsidRPr="00AD6945" w:rsidRDefault="00252C89" w:rsidP="001A364A">
      <w:pPr>
        <w:ind w:left="1134"/>
        <w:jc w:val="both"/>
        <w:rPr>
          <w:rFonts w:ascii="Arial" w:eastAsia="Arial" w:hAnsi="Arial" w:cs="Arial"/>
          <w:color w:val="000000" w:themeColor="text1"/>
          <w:sz w:val="18"/>
          <w:szCs w:val="18"/>
          <w:lang w:val="it-IT"/>
        </w:rPr>
      </w:pPr>
    </w:p>
    <w:p w14:paraId="10960F59" w14:textId="29EB1E07" w:rsidR="001A364A" w:rsidRPr="00AD6945" w:rsidRDefault="00AD6945" w:rsidP="001A364A">
      <w:pPr>
        <w:ind w:left="1134"/>
        <w:jc w:val="both"/>
        <w:rPr>
          <w:rFonts w:ascii="Arial" w:eastAsia="Arial" w:hAnsi="Arial" w:cs="Arial"/>
          <w:color w:val="000000" w:themeColor="text1"/>
          <w:sz w:val="18"/>
          <w:szCs w:val="18"/>
          <w:lang w:val="it-IT"/>
        </w:rPr>
      </w:pPr>
      <w:r>
        <w:rPr>
          <w:rFonts w:ascii="Arial" w:eastAsia="Arial" w:hAnsi="Arial" w:cs="Arial"/>
          <w:color w:val="000000" w:themeColor="text1"/>
          <w:sz w:val="18"/>
          <w:szCs w:val="18"/>
          <w:lang w:val="it-IT"/>
        </w:rPr>
        <w:t xml:space="preserve">Il </w:t>
      </w:r>
      <w:r w:rsidRPr="00F0046F">
        <w:rPr>
          <w:rFonts w:ascii="Arial" w:eastAsia="Arial" w:hAnsi="Arial" w:cs="Arial"/>
          <w:color w:val="000000" w:themeColor="text1"/>
          <w:sz w:val="18"/>
          <w:szCs w:val="18"/>
          <w:lang w:val="it-IT"/>
        </w:rPr>
        <w:t>fatturato</w:t>
      </w:r>
      <w:r w:rsidR="00E918C6" w:rsidRPr="00F0046F">
        <w:rPr>
          <w:rFonts w:ascii="Arial" w:eastAsia="Arial" w:hAnsi="Arial" w:cs="Arial"/>
          <w:color w:val="000000" w:themeColor="text1"/>
          <w:sz w:val="16"/>
          <w:szCs w:val="16"/>
          <w:vertAlign w:val="superscript"/>
          <w:lang w:val="it-IT"/>
        </w:rPr>
        <w:t xml:space="preserve"> </w:t>
      </w:r>
      <w:r w:rsidR="002F6DB9" w:rsidRPr="00AD6945">
        <w:rPr>
          <w:rFonts w:ascii="Arial" w:eastAsia="Arial" w:hAnsi="Arial" w:cs="Arial"/>
          <w:color w:val="000000" w:themeColor="text1"/>
          <w:sz w:val="18"/>
          <w:szCs w:val="18"/>
          <w:vertAlign w:val="superscript"/>
          <w:lang w:val="it-IT"/>
        </w:rPr>
        <w:t>(1)</w:t>
      </w:r>
      <w:r w:rsidR="00E918C6" w:rsidRPr="00AD6945">
        <w:rPr>
          <w:rFonts w:ascii="Arial" w:eastAsia="Arial" w:hAnsi="Arial" w:cs="Arial"/>
          <w:color w:val="000000" w:themeColor="text1"/>
          <w:sz w:val="18"/>
          <w:szCs w:val="18"/>
          <w:lang w:val="it-IT"/>
        </w:rPr>
        <w:t xml:space="preserve"> </w:t>
      </w:r>
      <w:r w:rsidR="001A364A" w:rsidRPr="00AD6945">
        <w:rPr>
          <w:rFonts w:ascii="Arial" w:eastAsia="Arial" w:hAnsi="Arial" w:cs="Arial"/>
          <w:color w:val="000000" w:themeColor="text1"/>
          <w:sz w:val="18"/>
          <w:szCs w:val="18"/>
          <w:lang w:val="it-IT"/>
        </w:rPr>
        <w:t xml:space="preserve">del primo trimestre 2025 </w:t>
      </w:r>
      <w:r>
        <w:rPr>
          <w:rFonts w:ascii="Arial" w:eastAsia="Arial" w:hAnsi="Arial" w:cs="Arial"/>
          <w:color w:val="000000" w:themeColor="text1"/>
          <w:sz w:val="18"/>
          <w:szCs w:val="18"/>
          <w:lang w:val="it-IT"/>
        </w:rPr>
        <w:t xml:space="preserve">è </w:t>
      </w:r>
      <w:r w:rsidR="009B29E4" w:rsidRPr="00AD6945">
        <w:rPr>
          <w:rFonts w:ascii="Arial" w:eastAsia="Arial" w:hAnsi="Arial" w:cs="Arial"/>
          <w:color w:val="000000" w:themeColor="text1"/>
          <w:sz w:val="18"/>
          <w:szCs w:val="18"/>
          <w:lang w:val="it-IT"/>
        </w:rPr>
        <w:t>aumentat</w:t>
      </w:r>
      <w:r>
        <w:rPr>
          <w:rFonts w:ascii="Arial" w:eastAsia="Arial" w:hAnsi="Arial" w:cs="Arial"/>
          <w:color w:val="000000" w:themeColor="text1"/>
          <w:sz w:val="18"/>
          <w:szCs w:val="18"/>
          <w:lang w:val="it-IT"/>
        </w:rPr>
        <w:t>o</w:t>
      </w:r>
      <w:r w:rsidR="009B29E4" w:rsidRPr="00AD6945">
        <w:rPr>
          <w:rFonts w:ascii="Arial" w:eastAsia="Arial" w:hAnsi="Arial" w:cs="Arial"/>
          <w:color w:val="000000" w:themeColor="text1"/>
          <w:sz w:val="18"/>
          <w:szCs w:val="18"/>
          <w:lang w:val="it-IT"/>
        </w:rPr>
        <w:t xml:space="preserve"> </w:t>
      </w:r>
      <w:r w:rsidR="001A364A" w:rsidRPr="00AD6945">
        <w:rPr>
          <w:rFonts w:ascii="Arial" w:eastAsia="Arial" w:hAnsi="Arial" w:cs="Arial"/>
          <w:color w:val="000000" w:themeColor="text1"/>
          <w:sz w:val="18"/>
          <w:szCs w:val="18"/>
          <w:lang w:val="it-IT"/>
        </w:rPr>
        <w:t>del +7% a 858 milioni di euro, rispetto agli 801,6 milioni di euro del primo trimestre 2024.</w:t>
      </w:r>
    </w:p>
    <w:p w14:paraId="67D77D55" w14:textId="7E0F4272" w:rsidR="001A364A" w:rsidRPr="00AD6945" w:rsidRDefault="001A364A" w:rsidP="001A364A">
      <w:pPr>
        <w:ind w:left="1134"/>
        <w:jc w:val="both"/>
        <w:rPr>
          <w:rFonts w:ascii="Arial" w:eastAsia="Arial" w:hAnsi="Arial" w:cs="Arial"/>
          <w:color w:val="000000" w:themeColor="text1"/>
          <w:sz w:val="18"/>
          <w:szCs w:val="18"/>
          <w:lang w:val="it-IT"/>
        </w:rPr>
      </w:pPr>
      <w:r w:rsidRPr="00AD6945">
        <w:rPr>
          <w:rFonts w:ascii="Arial" w:eastAsia="Arial" w:hAnsi="Arial" w:cs="Arial"/>
          <w:color w:val="000000" w:themeColor="text1"/>
          <w:sz w:val="18"/>
          <w:szCs w:val="18"/>
          <w:lang w:val="it-IT"/>
        </w:rPr>
        <w:t>Escludendo l'impatto positivo delle fluttuazioni dei tassi di cambio e delle variazioni dell'area di consolidamento,</w:t>
      </w:r>
      <w:r w:rsidR="00E918C6" w:rsidRPr="0092785D">
        <w:rPr>
          <w:lang w:val="it-IT"/>
        </w:rPr>
        <w:t xml:space="preserve"> </w:t>
      </w:r>
      <w:r w:rsidR="00E918C6" w:rsidRPr="00E918C6">
        <w:rPr>
          <w:rFonts w:ascii="Arial" w:eastAsia="Arial" w:hAnsi="Arial" w:cs="Arial"/>
          <w:color w:val="000000" w:themeColor="text1"/>
          <w:sz w:val="18"/>
          <w:szCs w:val="18"/>
          <w:lang w:val="it-IT"/>
        </w:rPr>
        <w:t>cioè la crescita organica</w:t>
      </w:r>
      <w:r w:rsidRPr="00AD6945">
        <w:rPr>
          <w:rFonts w:ascii="Arial" w:eastAsia="Arial" w:hAnsi="Arial" w:cs="Arial"/>
          <w:color w:val="000000" w:themeColor="text1"/>
          <w:sz w:val="18"/>
          <w:szCs w:val="18"/>
          <w:lang w:val="it-IT"/>
        </w:rPr>
        <w:t xml:space="preserve"> </w:t>
      </w:r>
      <w:r w:rsidR="00E918C6" w:rsidRPr="00AD6945">
        <w:rPr>
          <w:rFonts w:ascii="Arial" w:eastAsia="Arial" w:hAnsi="Arial" w:cs="Arial"/>
          <w:color w:val="000000" w:themeColor="text1"/>
          <w:sz w:val="18"/>
          <w:szCs w:val="18"/>
          <w:vertAlign w:val="superscript"/>
          <w:lang w:val="it-IT"/>
        </w:rPr>
        <w:t>(2)</w:t>
      </w:r>
      <w:r w:rsidR="00E918C6">
        <w:rPr>
          <w:rFonts w:ascii="Arial" w:eastAsia="Arial" w:hAnsi="Arial" w:cs="Arial"/>
          <w:color w:val="000000" w:themeColor="text1"/>
          <w:sz w:val="18"/>
          <w:szCs w:val="18"/>
          <w:lang w:val="it-IT"/>
        </w:rPr>
        <w:t>, i</w:t>
      </w:r>
      <w:r w:rsidRPr="00AD6945">
        <w:rPr>
          <w:rFonts w:ascii="Arial" w:eastAsia="Arial" w:hAnsi="Arial" w:cs="Arial"/>
          <w:color w:val="000000" w:themeColor="text1"/>
          <w:sz w:val="18"/>
          <w:szCs w:val="18"/>
          <w:lang w:val="it-IT"/>
        </w:rPr>
        <w:t xml:space="preserve">l fatturato è </w:t>
      </w:r>
      <w:r w:rsidR="00CC0832" w:rsidRPr="00AD6945">
        <w:rPr>
          <w:rFonts w:ascii="Arial" w:eastAsia="Arial" w:hAnsi="Arial" w:cs="Arial"/>
          <w:color w:val="000000" w:themeColor="text1"/>
          <w:sz w:val="18"/>
          <w:szCs w:val="18"/>
          <w:lang w:val="it-IT"/>
        </w:rPr>
        <w:t xml:space="preserve">aumentato </w:t>
      </w:r>
      <w:r w:rsidRPr="00AD6945">
        <w:rPr>
          <w:rFonts w:ascii="Arial" w:eastAsia="Arial" w:hAnsi="Arial" w:cs="Arial"/>
          <w:color w:val="000000" w:themeColor="text1"/>
          <w:sz w:val="18"/>
          <w:szCs w:val="18"/>
          <w:lang w:val="it-IT"/>
        </w:rPr>
        <w:t xml:space="preserve">del </w:t>
      </w:r>
      <w:r w:rsidR="000D3FF0">
        <w:rPr>
          <w:rFonts w:ascii="Arial" w:eastAsia="Arial" w:hAnsi="Arial" w:cs="Arial"/>
          <w:color w:val="000000" w:themeColor="text1"/>
          <w:sz w:val="18"/>
          <w:szCs w:val="18"/>
          <w:lang w:val="it-IT"/>
        </w:rPr>
        <w:t>+</w:t>
      </w:r>
      <w:r w:rsidRPr="00AD6945">
        <w:rPr>
          <w:rFonts w:ascii="Arial" w:eastAsia="Arial" w:hAnsi="Arial" w:cs="Arial"/>
          <w:color w:val="000000" w:themeColor="text1"/>
          <w:sz w:val="18"/>
          <w:szCs w:val="18"/>
          <w:lang w:val="it-IT"/>
        </w:rPr>
        <w:t>5,5%.</w:t>
      </w:r>
    </w:p>
    <w:p w14:paraId="50F001F7" w14:textId="16D76324" w:rsidR="001A364A" w:rsidRPr="00AD6945" w:rsidRDefault="001A364A" w:rsidP="001A364A">
      <w:pPr>
        <w:ind w:left="1134"/>
        <w:jc w:val="both"/>
        <w:rPr>
          <w:rFonts w:ascii="Arial" w:eastAsia="Arial" w:hAnsi="Arial" w:cs="Arial"/>
          <w:color w:val="000000" w:themeColor="text1"/>
          <w:sz w:val="18"/>
          <w:szCs w:val="18"/>
          <w:lang w:val="it-IT"/>
        </w:rPr>
      </w:pPr>
      <w:r w:rsidRPr="00AD6945">
        <w:rPr>
          <w:rFonts w:ascii="Arial" w:eastAsia="Arial" w:hAnsi="Arial" w:cs="Arial"/>
          <w:color w:val="000000" w:themeColor="text1"/>
          <w:sz w:val="18"/>
          <w:szCs w:val="18"/>
          <w:lang w:val="it-IT"/>
        </w:rPr>
        <w:t xml:space="preserve">Il fatturato pubblicitario, escludendo la </w:t>
      </w:r>
      <w:r w:rsidR="00732AE6" w:rsidRPr="00AD6945">
        <w:rPr>
          <w:rFonts w:ascii="Arial" w:eastAsia="Arial" w:hAnsi="Arial" w:cs="Arial"/>
          <w:color w:val="000000" w:themeColor="text1"/>
          <w:sz w:val="18"/>
          <w:szCs w:val="18"/>
          <w:lang w:val="it-IT"/>
        </w:rPr>
        <w:t>vendita</w:t>
      </w:r>
      <w:r w:rsidRPr="00AD6945">
        <w:rPr>
          <w:rFonts w:ascii="Arial" w:eastAsia="Arial" w:hAnsi="Arial" w:cs="Arial"/>
          <w:color w:val="000000" w:themeColor="text1"/>
          <w:sz w:val="18"/>
          <w:szCs w:val="18"/>
          <w:lang w:val="it-IT"/>
        </w:rPr>
        <w:t xml:space="preserve">, il </w:t>
      </w:r>
      <w:r w:rsidR="00732AE6" w:rsidRPr="00AD6945">
        <w:rPr>
          <w:rFonts w:ascii="Arial" w:eastAsia="Arial" w:hAnsi="Arial" w:cs="Arial"/>
          <w:color w:val="000000" w:themeColor="text1"/>
          <w:sz w:val="18"/>
          <w:szCs w:val="18"/>
          <w:lang w:val="it-IT"/>
        </w:rPr>
        <w:t xml:space="preserve">noleggio </w:t>
      </w:r>
      <w:r w:rsidRPr="00AD6945">
        <w:rPr>
          <w:rFonts w:ascii="Arial" w:eastAsia="Arial" w:hAnsi="Arial" w:cs="Arial"/>
          <w:color w:val="000000" w:themeColor="text1"/>
          <w:sz w:val="18"/>
          <w:szCs w:val="18"/>
          <w:lang w:val="it-IT"/>
        </w:rPr>
        <w:t xml:space="preserve">e la manutenzione di arredi urbani e </w:t>
      </w:r>
      <w:r w:rsidR="00732AE6" w:rsidRPr="00AD6945">
        <w:rPr>
          <w:rFonts w:ascii="Arial" w:eastAsia="Arial" w:hAnsi="Arial" w:cs="Arial"/>
          <w:color w:val="000000" w:themeColor="text1"/>
          <w:sz w:val="18"/>
          <w:szCs w:val="18"/>
          <w:lang w:val="it-IT"/>
        </w:rPr>
        <w:t xml:space="preserve">impianti </w:t>
      </w:r>
      <w:r w:rsidRPr="00AD6945">
        <w:rPr>
          <w:rFonts w:ascii="Arial" w:eastAsia="Arial" w:hAnsi="Arial" w:cs="Arial"/>
          <w:color w:val="000000" w:themeColor="text1"/>
          <w:sz w:val="18"/>
          <w:szCs w:val="18"/>
          <w:lang w:val="it-IT"/>
        </w:rPr>
        <w:t>pubblicitari</w:t>
      </w:r>
      <w:r w:rsidR="00732AE6" w:rsidRPr="00AD6945">
        <w:rPr>
          <w:rFonts w:ascii="Arial" w:eastAsia="Arial" w:hAnsi="Arial" w:cs="Arial"/>
          <w:color w:val="000000" w:themeColor="text1"/>
          <w:sz w:val="18"/>
          <w:szCs w:val="18"/>
          <w:lang w:val="it-IT"/>
        </w:rPr>
        <w:t xml:space="preserve">, è </w:t>
      </w:r>
      <w:r w:rsidR="00CC0832" w:rsidRPr="00AD6945">
        <w:rPr>
          <w:rFonts w:ascii="Arial" w:eastAsia="Arial" w:hAnsi="Arial" w:cs="Arial"/>
          <w:color w:val="000000" w:themeColor="text1"/>
          <w:sz w:val="18"/>
          <w:szCs w:val="18"/>
          <w:lang w:val="it-IT"/>
        </w:rPr>
        <w:t xml:space="preserve">aumentato </w:t>
      </w:r>
      <w:r w:rsidRPr="00AD6945">
        <w:rPr>
          <w:rFonts w:ascii="Arial" w:eastAsia="Arial" w:hAnsi="Arial" w:cs="Arial"/>
          <w:color w:val="000000" w:themeColor="text1"/>
          <w:sz w:val="18"/>
          <w:szCs w:val="18"/>
          <w:lang w:val="it-IT"/>
        </w:rPr>
        <w:t xml:space="preserve">del </w:t>
      </w:r>
      <w:r w:rsidR="000D3FF0">
        <w:rPr>
          <w:rFonts w:ascii="Arial" w:eastAsia="Arial" w:hAnsi="Arial" w:cs="Arial"/>
          <w:color w:val="000000" w:themeColor="text1"/>
          <w:sz w:val="18"/>
          <w:szCs w:val="18"/>
          <w:lang w:val="it-IT"/>
        </w:rPr>
        <w:t>+</w:t>
      </w:r>
      <w:r w:rsidRPr="00AD6945">
        <w:rPr>
          <w:rFonts w:ascii="Arial" w:eastAsia="Arial" w:hAnsi="Arial" w:cs="Arial"/>
          <w:color w:val="000000" w:themeColor="text1"/>
          <w:sz w:val="18"/>
          <w:szCs w:val="18"/>
          <w:lang w:val="it-IT"/>
        </w:rPr>
        <w:t>5,8% su base organica.</w:t>
      </w:r>
    </w:p>
    <w:p w14:paraId="37E2BDBF" w14:textId="77777777" w:rsidR="001A364A" w:rsidRPr="00AD6945" w:rsidRDefault="001A364A" w:rsidP="00E264EB">
      <w:pPr>
        <w:spacing w:before="120"/>
        <w:ind w:left="1134"/>
        <w:jc w:val="both"/>
        <w:rPr>
          <w:rFonts w:ascii="Arial" w:eastAsia="Arial" w:hAnsi="Arial" w:cs="Arial"/>
          <w:color w:val="000000" w:themeColor="text1"/>
          <w:sz w:val="18"/>
          <w:szCs w:val="18"/>
          <w:lang w:val="it-IT"/>
        </w:rPr>
      </w:pPr>
    </w:p>
    <w:p w14:paraId="188FB765" w14:textId="3E7E013C" w:rsidR="00E264EB" w:rsidRPr="00AD6945" w:rsidRDefault="00306E1F" w:rsidP="00E264EB">
      <w:pPr>
        <w:spacing w:before="120"/>
        <w:ind w:left="1134"/>
        <w:jc w:val="both"/>
        <w:rPr>
          <w:rFonts w:ascii="Arial" w:eastAsia="Arial" w:hAnsi="Arial" w:cs="Arial"/>
          <w:color w:val="000000" w:themeColor="text1"/>
          <w:sz w:val="18"/>
          <w:szCs w:val="18"/>
          <w:lang w:val="it-IT"/>
        </w:rPr>
      </w:pPr>
      <w:r w:rsidRPr="00AD6945">
        <w:rPr>
          <w:rFonts w:ascii="Arial" w:eastAsia="Arial" w:hAnsi="Arial" w:cs="Arial"/>
          <w:color w:val="000000" w:themeColor="text1"/>
          <w:sz w:val="18"/>
          <w:szCs w:val="18"/>
          <w:lang w:val="it-IT"/>
        </w:rPr>
        <w:t xml:space="preserve">Tutte le </w:t>
      </w:r>
      <w:r w:rsidR="00E264EB" w:rsidRPr="00AD6945">
        <w:rPr>
          <w:rFonts w:ascii="Arial" w:eastAsia="Arial" w:hAnsi="Arial" w:cs="Arial"/>
          <w:color w:val="000000" w:themeColor="text1"/>
          <w:sz w:val="18"/>
          <w:szCs w:val="18"/>
          <w:lang w:val="it-IT"/>
        </w:rPr>
        <w:t xml:space="preserve">nostre attività hanno registrato una </w:t>
      </w:r>
      <w:r w:rsidR="004B374D" w:rsidRPr="00AD6945">
        <w:rPr>
          <w:rFonts w:ascii="Arial" w:eastAsia="Arial" w:hAnsi="Arial" w:cs="Arial"/>
          <w:color w:val="000000" w:themeColor="text1"/>
          <w:sz w:val="18"/>
          <w:szCs w:val="18"/>
          <w:lang w:val="it-IT"/>
        </w:rPr>
        <w:t xml:space="preserve">forte </w:t>
      </w:r>
      <w:r w:rsidR="00E264EB" w:rsidRPr="00AD6945">
        <w:rPr>
          <w:rFonts w:ascii="Arial" w:eastAsia="Arial" w:hAnsi="Arial" w:cs="Arial"/>
          <w:color w:val="000000" w:themeColor="text1"/>
          <w:sz w:val="18"/>
          <w:szCs w:val="18"/>
          <w:lang w:val="it-IT"/>
        </w:rPr>
        <w:t>crescita organica del</w:t>
      </w:r>
      <w:r w:rsidR="00AD6945">
        <w:rPr>
          <w:rFonts w:ascii="Arial" w:eastAsia="Arial" w:hAnsi="Arial" w:cs="Arial"/>
          <w:color w:val="000000" w:themeColor="text1"/>
          <w:sz w:val="18"/>
          <w:szCs w:val="18"/>
          <w:lang w:val="it-IT"/>
        </w:rPr>
        <w:t xml:space="preserve"> </w:t>
      </w:r>
      <w:r w:rsidR="00AD6945" w:rsidRPr="00D472E1">
        <w:rPr>
          <w:rFonts w:ascii="Arial" w:eastAsia="Arial" w:hAnsi="Arial" w:cs="Arial"/>
          <w:color w:val="000000" w:themeColor="text1"/>
          <w:sz w:val="18"/>
          <w:szCs w:val="18"/>
          <w:lang w:val="it-IT"/>
        </w:rPr>
        <w:t>fatturato</w:t>
      </w:r>
      <w:r w:rsidR="00E264EB" w:rsidRPr="00AD6945">
        <w:rPr>
          <w:rFonts w:ascii="Arial" w:eastAsia="Arial" w:hAnsi="Arial" w:cs="Arial"/>
          <w:color w:val="000000" w:themeColor="text1"/>
          <w:sz w:val="18"/>
          <w:szCs w:val="18"/>
          <w:lang w:val="it-IT"/>
        </w:rPr>
        <w:t xml:space="preserve">: l'Arredo </w:t>
      </w:r>
      <w:r w:rsidR="000D3FF0">
        <w:rPr>
          <w:rFonts w:ascii="Arial" w:eastAsia="Arial" w:hAnsi="Arial" w:cs="Arial"/>
          <w:color w:val="000000" w:themeColor="text1"/>
          <w:sz w:val="18"/>
          <w:szCs w:val="18"/>
          <w:lang w:val="it-IT"/>
        </w:rPr>
        <w:t>U</w:t>
      </w:r>
      <w:r w:rsidR="00E264EB" w:rsidRPr="00AD6945">
        <w:rPr>
          <w:rFonts w:ascii="Arial" w:eastAsia="Arial" w:hAnsi="Arial" w:cs="Arial"/>
          <w:color w:val="000000" w:themeColor="text1"/>
          <w:sz w:val="18"/>
          <w:szCs w:val="18"/>
          <w:lang w:val="it-IT"/>
        </w:rPr>
        <w:t xml:space="preserve">rbano </w:t>
      </w:r>
      <w:r w:rsidR="00CC0832" w:rsidRPr="00AD6945">
        <w:rPr>
          <w:rFonts w:ascii="Arial" w:eastAsia="Arial" w:hAnsi="Arial" w:cs="Arial"/>
          <w:color w:val="000000" w:themeColor="text1"/>
          <w:sz w:val="18"/>
          <w:szCs w:val="18"/>
          <w:lang w:val="it-IT"/>
        </w:rPr>
        <w:t xml:space="preserve">è aumentato </w:t>
      </w:r>
      <w:r w:rsidR="00E264EB" w:rsidRPr="00AD6945">
        <w:rPr>
          <w:rFonts w:ascii="Arial" w:eastAsia="Arial" w:hAnsi="Arial" w:cs="Arial"/>
          <w:color w:val="000000" w:themeColor="text1"/>
          <w:sz w:val="18"/>
          <w:szCs w:val="18"/>
          <w:lang w:val="it-IT"/>
        </w:rPr>
        <w:t xml:space="preserve">del </w:t>
      </w:r>
      <w:r w:rsidR="000D3FF0">
        <w:rPr>
          <w:rFonts w:ascii="Arial" w:eastAsia="Arial" w:hAnsi="Arial" w:cs="Arial"/>
          <w:color w:val="000000" w:themeColor="text1"/>
          <w:sz w:val="18"/>
          <w:szCs w:val="18"/>
          <w:lang w:val="it-IT"/>
        </w:rPr>
        <w:t>+</w:t>
      </w:r>
      <w:r w:rsidR="00E264EB" w:rsidRPr="00AD6945">
        <w:rPr>
          <w:rFonts w:ascii="Arial" w:eastAsia="Arial" w:hAnsi="Arial" w:cs="Arial"/>
          <w:color w:val="000000" w:themeColor="text1"/>
          <w:sz w:val="18"/>
          <w:szCs w:val="18"/>
          <w:lang w:val="it-IT"/>
        </w:rPr>
        <w:t xml:space="preserve">5,3%, i Trasporti </w:t>
      </w:r>
      <w:r w:rsidR="00CC0832" w:rsidRPr="00AD6945">
        <w:rPr>
          <w:rFonts w:ascii="Arial" w:eastAsia="Arial" w:hAnsi="Arial" w:cs="Arial"/>
          <w:color w:val="000000" w:themeColor="text1"/>
          <w:sz w:val="18"/>
          <w:szCs w:val="18"/>
          <w:lang w:val="it-IT"/>
        </w:rPr>
        <w:t xml:space="preserve">del </w:t>
      </w:r>
      <w:r w:rsidR="000D3FF0">
        <w:rPr>
          <w:rFonts w:ascii="Arial" w:eastAsia="Arial" w:hAnsi="Arial" w:cs="Arial"/>
          <w:color w:val="000000" w:themeColor="text1"/>
          <w:sz w:val="18"/>
          <w:szCs w:val="18"/>
          <w:lang w:val="it-IT"/>
        </w:rPr>
        <w:t>+</w:t>
      </w:r>
      <w:r w:rsidR="00E264EB" w:rsidRPr="00AD6945">
        <w:rPr>
          <w:rFonts w:ascii="Arial" w:eastAsia="Arial" w:hAnsi="Arial" w:cs="Arial"/>
          <w:color w:val="000000" w:themeColor="text1"/>
          <w:sz w:val="18"/>
          <w:szCs w:val="18"/>
          <w:lang w:val="it-IT"/>
        </w:rPr>
        <w:t xml:space="preserve">6,1% e </w:t>
      </w:r>
      <w:r w:rsidR="00AD6945">
        <w:rPr>
          <w:rFonts w:ascii="Arial" w:eastAsia="Arial" w:hAnsi="Arial" w:cs="Arial"/>
          <w:color w:val="000000" w:themeColor="text1"/>
          <w:sz w:val="18"/>
          <w:szCs w:val="18"/>
          <w:lang w:val="it-IT"/>
        </w:rPr>
        <w:t>l</w:t>
      </w:r>
      <w:r w:rsidR="000D3FF0">
        <w:rPr>
          <w:rFonts w:ascii="Arial" w:eastAsia="Arial" w:hAnsi="Arial" w:cs="Arial"/>
          <w:color w:val="000000" w:themeColor="text1"/>
          <w:sz w:val="18"/>
          <w:szCs w:val="18"/>
          <w:lang w:val="it-IT"/>
        </w:rPr>
        <w:t>’</w:t>
      </w:r>
      <w:r w:rsidR="00AD6945">
        <w:rPr>
          <w:rFonts w:ascii="Arial" w:eastAsia="Arial" w:hAnsi="Arial" w:cs="Arial"/>
          <w:color w:val="000000" w:themeColor="text1"/>
          <w:sz w:val="18"/>
          <w:szCs w:val="18"/>
          <w:lang w:val="it-IT"/>
        </w:rPr>
        <w:t>Affission</w:t>
      </w:r>
      <w:r w:rsidR="000D3FF0">
        <w:rPr>
          <w:rFonts w:ascii="Arial" w:eastAsia="Arial" w:hAnsi="Arial" w:cs="Arial"/>
          <w:color w:val="000000" w:themeColor="text1"/>
          <w:sz w:val="18"/>
          <w:szCs w:val="18"/>
          <w:lang w:val="it-IT"/>
        </w:rPr>
        <w:t>e</w:t>
      </w:r>
      <w:r w:rsidR="00AD6945">
        <w:rPr>
          <w:rFonts w:ascii="Arial" w:eastAsia="Arial" w:hAnsi="Arial" w:cs="Arial"/>
          <w:color w:val="000000" w:themeColor="text1"/>
          <w:sz w:val="18"/>
          <w:szCs w:val="18"/>
          <w:lang w:val="it-IT"/>
        </w:rPr>
        <w:t xml:space="preserve"> </w:t>
      </w:r>
      <w:r w:rsidR="00E72E9A" w:rsidRPr="00AD6945">
        <w:rPr>
          <w:rFonts w:ascii="Arial" w:eastAsia="Arial" w:hAnsi="Arial" w:cs="Arial"/>
          <w:color w:val="000000" w:themeColor="text1"/>
          <w:sz w:val="18"/>
          <w:szCs w:val="18"/>
          <w:lang w:val="it-IT"/>
        </w:rPr>
        <w:t xml:space="preserve">del </w:t>
      </w:r>
      <w:r w:rsidR="000D3FF0">
        <w:rPr>
          <w:rFonts w:ascii="Arial" w:eastAsia="Arial" w:hAnsi="Arial" w:cs="Arial"/>
          <w:color w:val="000000" w:themeColor="text1"/>
          <w:sz w:val="18"/>
          <w:szCs w:val="18"/>
          <w:lang w:val="it-IT"/>
        </w:rPr>
        <w:t>+</w:t>
      </w:r>
      <w:r w:rsidR="00E264EB" w:rsidRPr="00AD6945">
        <w:rPr>
          <w:rFonts w:ascii="Arial" w:eastAsia="Arial" w:hAnsi="Arial" w:cs="Arial"/>
          <w:color w:val="000000" w:themeColor="text1"/>
          <w:sz w:val="18"/>
          <w:szCs w:val="18"/>
          <w:lang w:val="it-IT"/>
        </w:rPr>
        <w:t>4,6%.</w:t>
      </w:r>
      <w:r w:rsidR="00AD6945">
        <w:rPr>
          <w:rFonts w:ascii="Arial" w:eastAsia="Arial" w:hAnsi="Arial" w:cs="Arial"/>
          <w:color w:val="000000" w:themeColor="text1"/>
          <w:sz w:val="18"/>
          <w:szCs w:val="18"/>
          <w:lang w:val="it-IT"/>
        </w:rPr>
        <w:t xml:space="preserve"> </w:t>
      </w:r>
      <w:r w:rsidR="00E264EB" w:rsidRPr="00AD6945">
        <w:rPr>
          <w:rFonts w:ascii="Arial" w:eastAsia="Arial" w:hAnsi="Arial" w:cs="Arial"/>
          <w:color w:val="000000" w:themeColor="text1"/>
          <w:sz w:val="18"/>
          <w:szCs w:val="18"/>
          <w:lang w:val="it-IT"/>
        </w:rPr>
        <w:t xml:space="preserve"> </w:t>
      </w:r>
    </w:p>
    <w:tbl>
      <w:tblPr>
        <w:tblW w:w="6354" w:type="dxa"/>
        <w:jc w:val="center"/>
        <w:tblLayout w:type="fixed"/>
        <w:tblCellMar>
          <w:left w:w="57" w:type="dxa"/>
          <w:right w:w="57" w:type="dxa"/>
        </w:tblCellMar>
        <w:tblLook w:val="0000" w:firstRow="0" w:lastRow="0" w:firstColumn="0" w:lastColumn="0" w:noHBand="0" w:noVBand="0"/>
      </w:tblPr>
      <w:tblGrid>
        <w:gridCol w:w="1701"/>
        <w:gridCol w:w="1163"/>
        <w:gridCol w:w="1163"/>
        <w:gridCol w:w="1163"/>
        <w:gridCol w:w="1164"/>
      </w:tblGrid>
      <w:tr w:rsidR="00E264EB" w:rsidRPr="0092785D" w14:paraId="10414FDB" w14:textId="77777777" w:rsidTr="00FC65D5">
        <w:trPr>
          <w:trHeight w:val="230"/>
          <w:jc w:val="center"/>
        </w:trPr>
        <w:tc>
          <w:tcPr>
            <w:tcW w:w="1701" w:type="dxa"/>
          </w:tcPr>
          <w:p w14:paraId="5C7B6D1D" w14:textId="77777777" w:rsidR="00E264EB" w:rsidRPr="00AD6945" w:rsidRDefault="00E264EB" w:rsidP="00E264EB">
            <w:pPr>
              <w:pStyle w:val="Titre61"/>
              <w:widowControl/>
              <w:numPr>
                <w:ilvl w:val="5"/>
                <w:numId w:val="30"/>
              </w:numPr>
              <w:tabs>
                <w:tab w:val="clear" w:pos="870"/>
                <w:tab w:val="clear" w:pos="4320"/>
                <w:tab w:val="num" w:pos="8951"/>
              </w:tabs>
              <w:spacing w:before="40" w:after="40"/>
              <w:ind w:left="72" w:hanging="1152"/>
              <w:rPr>
                <w:rFonts w:ascii="Arial" w:hAnsi="Arial" w:cs="Arial"/>
                <w:sz w:val="18"/>
                <w:szCs w:val="18"/>
                <w:lang w:val="it-IT"/>
              </w:rPr>
            </w:pPr>
          </w:p>
        </w:tc>
        <w:tc>
          <w:tcPr>
            <w:tcW w:w="4653" w:type="dxa"/>
            <w:gridSpan w:val="4"/>
            <w:vAlign w:val="center"/>
          </w:tcPr>
          <w:p w14:paraId="0615E00F" w14:textId="77777777" w:rsidR="00E264EB" w:rsidRPr="00AD6945" w:rsidRDefault="00E264EB">
            <w:pPr>
              <w:rPr>
                <w:rFonts w:ascii="Arial" w:hAnsi="Arial" w:cs="Arial"/>
                <w:b/>
                <w:bCs/>
                <w:color w:val="163B5C"/>
                <w:sz w:val="18"/>
                <w:szCs w:val="18"/>
                <w:lang w:val="it-IT"/>
              </w:rPr>
            </w:pPr>
          </w:p>
        </w:tc>
      </w:tr>
      <w:tr w:rsidR="00E264EB" w:rsidRPr="000F1914" w14:paraId="1062EB10" w14:textId="77777777" w:rsidTr="00FC65D5">
        <w:trPr>
          <w:trHeight w:val="230"/>
          <w:jc w:val="center"/>
        </w:trPr>
        <w:tc>
          <w:tcPr>
            <w:tcW w:w="1701" w:type="dxa"/>
            <w:tcBorders>
              <w:bottom w:val="single" w:sz="12" w:space="0" w:color="auto"/>
            </w:tcBorders>
          </w:tcPr>
          <w:p w14:paraId="34A14513" w14:textId="04B09505" w:rsidR="00E264EB" w:rsidRPr="00FC65D5" w:rsidRDefault="00AD6945">
            <w:pPr>
              <w:pStyle w:val="Titre61"/>
              <w:widowControl/>
              <w:tabs>
                <w:tab w:val="clear" w:pos="360"/>
                <w:tab w:val="clear" w:pos="4320"/>
              </w:tabs>
              <w:spacing w:before="40" w:after="40"/>
              <w:ind w:left="72"/>
              <w:rPr>
                <w:rFonts w:ascii="Arial" w:hAnsi="Arial" w:cs="Arial"/>
                <w:sz w:val="18"/>
                <w:szCs w:val="18"/>
                <w:lang w:val="fr-FR"/>
              </w:rPr>
            </w:pPr>
            <w:proofErr w:type="spellStart"/>
            <w:r>
              <w:rPr>
                <w:rFonts w:ascii="Arial" w:hAnsi="Arial" w:cs="Arial"/>
                <w:sz w:val="18"/>
                <w:szCs w:val="18"/>
                <w:lang w:val="fr-FR"/>
              </w:rPr>
              <w:t>Fatturato</w:t>
            </w:r>
            <w:proofErr w:type="spellEnd"/>
            <w:r w:rsidR="00E264EB" w:rsidRPr="00FC65D5">
              <w:rPr>
                <w:rFonts w:ascii="Arial" w:hAnsi="Arial" w:cs="Arial"/>
                <w:sz w:val="18"/>
                <w:szCs w:val="18"/>
                <w:lang w:val="fr-FR"/>
              </w:rPr>
              <w:t xml:space="preserve"> </w:t>
            </w:r>
            <w:proofErr w:type="spellStart"/>
            <w:r w:rsidR="00C85C59">
              <w:rPr>
                <w:rFonts w:ascii="Arial" w:hAnsi="Arial" w:cs="Arial"/>
                <w:sz w:val="18"/>
                <w:szCs w:val="18"/>
                <w:lang w:val="fr-FR"/>
              </w:rPr>
              <w:t>del</w:t>
            </w:r>
            <w:proofErr w:type="spellEnd"/>
            <w:r w:rsidR="00C85C59">
              <w:rPr>
                <w:rFonts w:ascii="Arial" w:hAnsi="Arial" w:cs="Arial"/>
                <w:sz w:val="18"/>
                <w:szCs w:val="18"/>
                <w:lang w:val="fr-FR"/>
              </w:rPr>
              <w:t xml:space="preserve"> primo trimestre</w:t>
            </w:r>
          </w:p>
        </w:tc>
        <w:tc>
          <w:tcPr>
            <w:tcW w:w="1163" w:type="dxa"/>
            <w:tcBorders>
              <w:bottom w:val="single" w:sz="12" w:space="0" w:color="auto"/>
            </w:tcBorders>
            <w:vAlign w:val="center"/>
          </w:tcPr>
          <w:p w14:paraId="3F3FB4BB" w14:textId="77777777" w:rsidR="000A47A6" w:rsidRDefault="00E264EB">
            <w:pPr>
              <w:jc w:val="center"/>
              <w:rPr>
                <w:rFonts w:ascii="Arial" w:hAnsi="Arial" w:cs="Arial"/>
                <w:b/>
                <w:bCs/>
                <w:color w:val="163B5C"/>
                <w:sz w:val="18"/>
                <w:szCs w:val="18"/>
              </w:rPr>
            </w:pPr>
            <w:r w:rsidRPr="75B220F3">
              <w:rPr>
                <w:rFonts w:ascii="Arial" w:hAnsi="Arial" w:cs="Arial"/>
                <w:b/>
                <w:bCs/>
                <w:color w:val="163B5C"/>
                <w:sz w:val="18"/>
                <w:szCs w:val="18"/>
              </w:rPr>
              <w:t xml:space="preserve">2025 </w:t>
            </w:r>
          </w:p>
          <w:p w14:paraId="29E3AC71" w14:textId="60CD4E3F" w:rsidR="00E264EB" w:rsidRPr="00425523" w:rsidRDefault="00E264EB">
            <w:pPr>
              <w:jc w:val="center"/>
              <w:rPr>
                <w:rFonts w:ascii="Arial" w:hAnsi="Arial" w:cs="Arial"/>
                <w:b/>
                <w:bCs/>
                <w:color w:val="163B5C"/>
                <w:sz w:val="18"/>
                <w:szCs w:val="18"/>
              </w:rPr>
            </w:pPr>
            <w:r w:rsidRPr="75B220F3">
              <w:rPr>
                <w:rFonts w:ascii="Arial" w:hAnsi="Arial" w:cs="Arial"/>
                <w:b/>
                <w:bCs/>
                <w:color w:val="163B5C"/>
                <w:sz w:val="18"/>
                <w:szCs w:val="18"/>
              </w:rPr>
              <w:t>(</w:t>
            </w:r>
            <w:r w:rsidR="000A47A6">
              <w:rPr>
                <w:rFonts w:ascii="Arial" w:hAnsi="Arial" w:cs="Arial"/>
                <w:b/>
                <w:bCs/>
                <w:color w:val="163B5C"/>
                <w:sz w:val="18"/>
                <w:szCs w:val="18"/>
              </w:rPr>
              <w:t>m€</w:t>
            </w:r>
            <w:r w:rsidRPr="75B220F3">
              <w:rPr>
                <w:rFonts w:ascii="Arial" w:hAnsi="Arial" w:cs="Arial"/>
                <w:b/>
                <w:bCs/>
                <w:color w:val="163B5C"/>
                <w:sz w:val="18"/>
                <w:szCs w:val="18"/>
              </w:rPr>
              <w:t>)</w:t>
            </w:r>
          </w:p>
        </w:tc>
        <w:tc>
          <w:tcPr>
            <w:tcW w:w="1163" w:type="dxa"/>
            <w:tcBorders>
              <w:bottom w:val="single" w:sz="12" w:space="0" w:color="auto"/>
              <w:right w:val="dotted" w:sz="4" w:space="0" w:color="auto"/>
            </w:tcBorders>
            <w:vAlign w:val="center"/>
          </w:tcPr>
          <w:p w14:paraId="20602139" w14:textId="77777777" w:rsidR="000A47A6" w:rsidRDefault="00E264EB">
            <w:pPr>
              <w:jc w:val="center"/>
              <w:rPr>
                <w:rFonts w:ascii="Arial" w:hAnsi="Arial" w:cs="Arial"/>
                <w:b/>
                <w:bCs/>
                <w:color w:val="163B5C"/>
                <w:sz w:val="18"/>
                <w:szCs w:val="18"/>
              </w:rPr>
            </w:pPr>
            <w:r w:rsidRPr="75B220F3">
              <w:rPr>
                <w:rFonts w:ascii="Arial" w:hAnsi="Arial" w:cs="Arial"/>
                <w:b/>
                <w:bCs/>
                <w:color w:val="163B5C"/>
                <w:sz w:val="18"/>
                <w:szCs w:val="18"/>
              </w:rPr>
              <w:t xml:space="preserve">2024 </w:t>
            </w:r>
          </w:p>
          <w:p w14:paraId="1E5B29EB" w14:textId="2AF1FC13" w:rsidR="00E264EB" w:rsidRDefault="00E264EB">
            <w:pPr>
              <w:jc w:val="center"/>
              <w:rPr>
                <w:rFonts w:ascii="Arial" w:hAnsi="Arial" w:cs="Arial"/>
                <w:b/>
                <w:bCs/>
                <w:color w:val="163B5C"/>
                <w:sz w:val="18"/>
                <w:szCs w:val="18"/>
              </w:rPr>
            </w:pPr>
            <w:r w:rsidRPr="75B220F3">
              <w:rPr>
                <w:rFonts w:ascii="Arial" w:hAnsi="Arial" w:cs="Arial"/>
                <w:b/>
                <w:bCs/>
                <w:color w:val="163B5C"/>
                <w:sz w:val="18"/>
                <w:szCs w:val="18"/>
              </w:rPr>
              <w:t>(</w:t>
            </w:r>
            <w:r w:rsidR="000A47A6">
              <w:rPr>
                <w:rFonts w:ascii="Arial" w:hAnsi="Arial" w:cs="Arial"/>
                <w:b/>
                <w:bCs/>
                <w:color w:val="163B5C"/>
                <w:sz w:val="18"/>
                <w:szCs w:val="18"/>
              </w:rPr>
              <w:t>m€</w:t>
            </w:r>
            <w:r w:rsidRPr="75B220F3">
              <w:rPr>
                <w:rFonts w:ascii="Arial" w:hAnsi="Arial" w:cs="Arial"/>
                <w:b/>
                <w:bCs/>
                <w:color w:val="163B5C"/>
                <w:sz w:val="18"/>
                <w:szCs w:val="18"/>
              </w:rPr>
              <w:t>)</w:t>
            </w:r>
          </w:p>
        </w:tc>
        <w:tc>
          <w:tcPr>
            <w:tcW w:w="1163" w:type="dxa"/>
            <w:tcBorders>
              <w:left w:val="dotted" w:sz="4" w:space="0" w:color="auto"/>
              <w:bottom w:val="single" w:sz="12" w:space="0" w:color="auto"/>
            </w:tcBorders>
            <w:vAlign w:val="center"/>
          </w:tcPr>
          <w:p w14:paraId="2A63DF0F" w14:textId="622E4A83" w:rsidR="00E264EB" w:rsidRPr="00425523" w:rsidRDefault="00E264EB">
            <w:pPr>
              <w:jc w:val="center"/>
              <w:rPr>
                <w:rFonts w:ascii="Arial" w:hAnsi="Arial" w:cs="Arial"/>
                <w:b/>
                <w:bCs/>
                <w:color w:val="163B5C"/>
                <w:sz w:val="18"/>
                <w:szCs w:val="18"/>
              </w:rPr>
            </w:pPr>
            <w:proofErr w:type="spellStart"/>
            <w:r w:rsidRPr="00425523">
              <w:rPr>
                <w:rFonts w:ascii="Arial" w:hAnsi="Arial" w:cs="Arial"/>
                <w:b/>
                <w:bCs/>
                <w:color w:val="163B5C"/>
                <w:sz w:val="18"/>
                <w:szCs w:val="18"/>
              </w:rPr>
              <w:t>Crescita</w:t>
            </w:r>
            <w:proofErr w:type="spellEnd"/>
            <w:r w:rsidRPr="00425523">
              <w:rPr>
                <w:rFonts w:ascii="Arial" w:hAnsi="Arial" w:cs="Arial"/>
                <w:b/>
                <w:bCs/>
                <w:color w:val="163B5C"/>
                <w:sz w:val="18"/>
                <w:szCs w:val="18"/>
              </w:rPr>
              <w:t xml:space="preserve"> </w:t>
            </w:r>
            <w:proofErr w:type="spellStart"/>
            <w:r w:rsidR="0075205C">
              <w:rPr>
                <w:rFonts w:ascii="Arial" w:hAnsi="Arial" w:cs="Arial"/>
                <w:b/>
                <w:bCs/>
                <w:color w:val="163B5C"/>
                <w:sz w:val="18"/>
                <w:szCs w:val="18"/>
              </w:rPr>
              <w:t>dichiarata</w:t>
            </w:r>
            <w:proofErr w:type="spellEnd"/>
          </w:p>
        </w:tc>
        <w:tc>
          <w:tcPr>
            <w:tcW w:w="1164" w:type="dxa"/>
            <w:tcBorders>
              <w:bottom w:val="single" w:sz="12" w:space="0" w:color="auto"/>
            </w:tcBorders>
            <w:vAlign w:val="center"/>
          </w:tcPr>
          <w:p w14:paraId="54710F40" w14:textId="38633EDD" w:rsidR="00E264EB" w:rsidRPr="00425523" w:rsidRDefault="00E264EB">
            <w:pPr>
              <w:jc w:val="center"/>
              <w:rPr>
                <w:rFonts w:ascii="Arial" w:hAnsi="Arial" w:cs="Arial"/>
                <w:b/>
                <w:bCs/>
                <w:color w:val="163B5C"/>
                <w:sz w:val="18"/>
                <w:szCs w:val="18"/>
              </w:rPr>
            </w:pPr>
            <w:proofErr w:type="spellStart"/>
            <w:r w:rsidRPr="00425523">
              <w:rPr>
                <w:rFonts w:ascii="Arial" w:hAnsi="Arial" w:cs="Arial"/>
                <w:b/>
                <w:bCs/>
                <w:color w:val="163B5C"/>
                <w:sz w:val="18"/>
                <w:szCs w:val="18"/>
              </w:rPr>
              <w:t>Crescita</w:t>
            </w:r>
            <w:proofErr w:type="spellEnd"/>
            <w:r w:rsidRPr="00425523">
              <w:rPr>
                <w:rFonts w:ascii="Arial" w:hAnsi="Arial" w:cs="Arial"/>
                <w:b/>
                <w:bCs/>
                <w:color w:val="163B5C"/>
                <w:sz w:val="18"/>
                <w:szCs w:val="18"/>
              </w:rPr>
              <w:t xml:space="preserve"> </w:t>
            </w:r>
            <w:proofErr w:type="spellStart"/>
            <w:r w:rsidR="000C0796">
              <w:rPr>
                <w:rFonts w:ascii="Arial" w:hAnsi="Arial" w:cs="Arial"/>
                <w:b/>
                <w:bCs/>
                <w:color w:val="163B5C"/>
                <w:sz w:val="18"/>
                <w:szCs w:val="18"/>
              </w:rPr>
              <w:t>organica</w:t>
            </w:r>
            <w:proofErr w:type="spellEnd"/>
          </w:p>
        </w:tc>
      </w:tr>
      <w:tr w:rsidR="00E264EB" w:rsidRPr="00620548" w14:paraId="294ACCDC" w14:textId="77777777" w:rsidTr="00FC65D5">
        <w:trPr>
          <w:trHeight w:val="427"/>
          <w:jc w:val="center"/>
        </w:trPr>
        <w:tc>
          <w:tcPr>
            <w:tcW w:w="1701" w:type="dxa"/>
            <w:tcBorders>
              <w:top w:val="single" w:sz="12" w:space="0" w:color="auto"/>
            </w:tcBorders>
            <w:vAlign w:val="center"/>
          </w:tcPr>
          <w:p w14:paraId="3DE06C00" w14:textId="62782A31" w:rsidR="00E264EB" w:rsidRPr="00D008A5" w:rsidRDefault="00732AE6">
            <w:pPr>
              <w:spacing w:before="40" w:after="40"/>
              <w:rPr>
                <w:rFonts w:ascii="Arial" w:hAnsi="Arial" w:cs="Arial"/>
                <w:b/>
                <w:sz w:val="18"/>
                <w:szCs w:val="18"/>
              </w:rPr>
            </w:pPr>
            <w:proofErr w:type="spellStart"/>
            <w:r>
              <w:rPr>
                <w:rFonts w:ascii="Arial" w:hAnsi="Arial" w:cs="Arial"/>
                <w:b/>
                <w:sz w:val="18"/>
                <w:szCs w:val="18"/>
              </w:rPr>
              <w:t>Arredo</w:t>
            </w:r>
            <w:proofErr w:type="spellEnd"/>
            <w:r>
              <w:rPr>
                <w:rFonts w:ascii="Arial" w:hAnsi="Arial" w:cs="Arial"/>
                <w:b/>
                <w:sz w:val="18"/>
                <w:szCs w:val="18"/>
              </w:rPr>
              <w:t xml:space="preserve"> </w:t>
            </w:r>
            <w:r w:rsidR="000D3FF0">
              <w:rPr>
                <w:rFonts w:ascii="Arial" w:hAnsi="Arial" w:cs="Arial"/>
                <w:b/>
                <w:sz w:val="18"/>
                <w:szCs w:val="18"/>
              </w:rPr>
              <w:t>U</w:t>
            </w:r>
            <w:r>
              <w:rPr>
                <w:rFonts w:ascii="Arial" w:hAnsi="Arial" w:cs="Arial"/>
                <w:b/>
                <w:sz w:val="18"/>
                <w:szCs w:val="18"/>
              </w:rPr>
              <w:t>rbano</w:t>
            </w:r>
          </w:p>
        </w:tc>
        <w:tc>
          <w:tcPr>
            <w:tcW w:w="1163" w:type="dxa"/>
            <w:tcBorders>
              <w:top w:val="single" w:sz="12" w:space="0" w:color="auto"/>
            </w:tcBorders>
            <w:vAlign w:val="center"/>
          </w:tcPr>
          <w:p w14:paraId="659C15C3" w14:textId="190A3186" w:rsidR="00E264EB" w:rsidRPr="00A35C25" w:rsidRDefault="00E264EB">
            <w:pPr>
              <w:spacing w:line="259" w:lineRule="auto"/>
              <w:jc w:val="center"/>
              <w:rPr>
                <w:rFonts w:ascii="Arial" w:eastAsia="Times New Roman" w:hAnsi="Arial" w:cs="Arial"/>
                <w:sz w:val="18"/>
                <w:szCs w:val="18"/>
                <w:lang w:val="fr-FR" w:eastAsia="fr-FR"/>
              </w:rPr>
            </w:pPr>
            <w:r w:rsidRPr="2DB8AA85">
              <w:rPr>
                <w:rFonts w:ascii="Arial" w:eastAsia="Times New Roman" w:hAnsi="Arial" w:cs="Arial"/>
                <w:sz w:val="18"/>
                <w:szCs w:val="18"/>
                <w:lang w:eastAsia="fr-FR"/>
              </w:rPr>
              <w:t>422</w:t>
            </w:r>
            <w:r w:rsidR="000C0796">
              <w:rPr>
                <w:rFonts w:ascii="Arial" w:eastAsia="Times New Roman" w:hAnsi="Arial" w:cs="Arial"/>
                <w:sz w:val="18"/>
                <w:szCs w:val="18"/>
                <w:lang w:eastAsia="fr-FR"/>
              </w:rPr>
              <w:t>,</w:t>
            </w:r>
            <w:r w:rsidRPr="2DB8AA85">
              <w:rPr>
                <w:rFonts w:ascii="Arial" w:eastAsia="Times New Roman" w:hAnsi="Arial" w:cs="Arial"/>
                <w:sz w:val="18"/>
                <w:szCs w:val="18"/>
                <w:lang w:eastAsia="fr-FR"/>
              </w:rPr>
              <w:t>5</w:t>
            </w:r>
          </w:p>
        </w:tc>
        <w:tc>
          <w:tcPr>
            <w:tcW w:w="1163" w:type="dxa"/>
            <w:tcBorders>
              <w:top w:val="single" w:sz="12" w:space="0" w:color="auto"/>
              <w:right w:val="dotted" w:sz="4" w:space="0" w:color="auto"/>
            </w:tcBorders>
            <w:vAlign w:val="center"/>
          </w:tcPr>
          <w:p w14:paraId="2FFBCAE8" w14:textId="77E51606" w:rsidR="00E264EB" w:rsidRDefault="00E264EB">
            <w:pPr>
              <w:jc w:val="center"/>
              <w:rPr>
                <w:rFonts w:ascii="Arial" w:hAnsi="Arial" w:cs="Arial"/>
                <w:sz w:val="18"/>
                <w:szCs w:val="18"/>
              </w:rPr>
            </w:pPr>
            <w:r w:rsidRPr="6C33A073">
              <w:rPr>
                <w:rFonts w:ascii="Arial" w:hAnsi="Arial" w:cs="Arial"/>
                <w:sz w:val="18"/>
                <w:szCs w:val="18"/>
              </w:rPr>
              <w:t>400</w:t>
            </w:r>
            <w:r w:rsidR="000C0796">
              <w:rPr>
                <w:rFonts w:ascii="Arial" w:hAnsi="Arial" w:cs="Arial"/>
                <w:sz w:val="18"/>
                <w:szCs w:val="18"/>
              </w:rPr>
              <w:t>,</w:t>
            </w:r>
            <w:r w:rsidRPr="6C33A073">
              <w:rPr>
                <w:rFonts w:ascii="Arial" w:hAnsi="Arial" w:cs="Arial"/>
                <w:sz w:val="18"/>
                <w:szCs w:val="18"/>
              </w:rPr>
              <w:t>8</w:t>
            </w:r>
          </w:p>
        </w:tc>
        <w:tc>
          <w:tcPr>
            <w:tcW w:w="1163" w:type="dxa"/>
            <w:tcBorders>
              <w:top w:val="single" w:sz="12" w:space="0" w:color="auto"/>
              <w:left w:val="dotted" w:sz="4" w:space="0" w:color="auto"/>
            </w:tcBorders>
            <w:vAlign w:val="center"/>
          </w:tcPr>
          <w:p w14:paraId="69A403CA" w14:textId="03022E92" w:rsidR="00E264EB" w:rsidRPr="0038612D" w:rsidRDefault="000C0796">
            <w:pPr>
              <w:spacing w:before="40" w:after="40"/>
              <w:jc w:val="center"/>
              <w:rPr>
                <w:rFonts w:ascii="Arial" w:eastAsia="Arial" w:hAnsi="Arial" w:cs="Arial"/>
                <w:color w:val="000000" w:themeColor="text1"/>
                <w:sz w:val="18"/>
                <w:szCs w:val="18"/>
              </w:rPr>
            </w:pPr>
            <w:r>
              <w:rPr>
                <w:rFonts w:ascii="Arial" w:eastAsia="Arial" w:hAnsi="Arial" w:cs="Arial"/>
                <w:color w:val="000000" w:themeColor="text1"/>
                <w:sz w:val="18"/>
                <w:szCs w:val="18"/>
              </w:rPr>
              <w:t>+5,</w:t>
            </w:r>
            <w:r w:rsidR="00E264EB" w:rsidRPr="2DB8AA85">
              <w:rPr>
                <w:rFonts w:ascii="Arial" w:eastAsia="Arial" w:hAnsi="Arial" w:cs="Arial"/>
                <w:color w:val="000000" w:themeColor="text1"/>
                <w:sz w:val="18"/>
                <w:szCs w:val="18"/>
              </w:rPr>
              <w:t>4%</w:t>
            </w:r>
          </w:p>
        </w:tc>
        <w:tc>
          <w:tcPr>
            <w:tcW w:w="1164" w:type="dxa"/>
            <w:tcBorders>
              <w:top w:val="single" w:sz="12" w:space="0" w:color="auto"/>
            </w:tcBorders>
            <w:vAlign w:val="center"/>
          </w:tcPr>
          <w:p w14:paraId="54325098" w14:textId="05C14D5E" w:rsidR="00E264EB" w:rsidRPr="0038612D" w:rsidRDefault="000C0796">
            <w:pPr>
              <w:spacing w:before="40" w:after="40"/>
              <w:jc w:val="center"/>
              <w:rPr>
                <w:rFonts w:ascii="Arial" w:eastAsia="Arial" w:hAnsi="Arial" w:cs="Arial"/>
                <w:color w:val="000000" w:themeColor="text1"/>
                <w:sz w:val="18"/>
                <w:szCs w:val="18"/>
              </w:rPr>
            </w:pPr>
            <w:r>
              <w:rPr>
                <w:rFonts w:ascii="Arial" w:eastAsia="Arial" w:hAnsi="Arial" w:cs="Arial"/>
                <w:color w:val="000000" w:themeColor="text1"/>
                <w:sz w:val="18"/>
                <w:szCs w:val="18"/>
              </w:rPr>
              <w:t>+5,</w:t>
            </w:r>
            <w:r w:rsidR="00E264EB" w:rsidRPr="2DB8AA85">
              <w:rPr>
                <w:rFonts w:ascii="Arial" w:eastAsia="Arial" w:hAnsi="Arial" w:cs="Arial"/>
                <w:color w:val="000000" w:themeColor="text1"/>
                <w:sz w:val="18"/>
                <w:szCs w:val="18"/>
              </w:rPr>
              <w:t>3%</w:t>
            </w:r>
          </w:p>
        </w:tc>
      </w:tr>
      <w:tr w:rsidR="00E264EB" w:rsidRPr="00620548" w14:paraId="33D7FC04" w14:textId="77777777" w:rsidTr="00FC65D5">
        <w:trPr>
          <w:trHeight w:val="358"/>
          <w:jc w:val="center"/>
        </w:trPr>
        <w:tc>
          <w:tcPr>
            <w:tcW w:w="1701" w:type="dxa"/>
            <w:vAlign w:val="center"/>
          </w:tcPr>
          <w:p w14:paraId="35A1CE24" w14:textId="63C1B6B6" w:rsidR="00E264EB" w:rsidRPr="00D008A5" w:rsidRDefault="00E264EB">
            <w:pPr>
              <w:spacing w:before="40" w:after="40"/>
              <w:rPr>
                <w:rFonts w:ascii="Arial" w:hAnsi="Arial" w:cs="Arial"/>
                <w:b/>
                <w:sz w:val="18"/>
                <w:szCs w:val="18"/>
              </w:rPr>
            </w:pPr>
            <w:proofErr w:type="spellStart"/>
            <w:r w:rsidRPr="00D008A5">
              <w:rPr>
                <w:rFonts w:ascii="Arial" w:hAnsi="Arial" w:cs="Arial"/>
                <w:b/>
                <w:sz w:val="18"/>
                <w:szCs w:val="18"/>
              </w:rPr>
              <w:t>Trasport</w:t>
            </w:r>
            <w:r w:rsidR="005F5C48">
              <w:rPr>
                <w:rFonts w:ascii="Arial" w:hAnsi="Arial" w:cs="Arial"/>
                <w:b/>
                <w:sz w:val="18"/>
                <w:szCs w:val="18"/>
              </w:rPr>
              <w:t>i</w:t>
            </w:r>
            <w:proofErr w:type="spellEnd"/>
          </w:p>
        </w:tc>
        <w:tc>
          <w:tcPr>
            <w:tcW w:w="1163" w:type="dxa"/>
            <w:vAlign w:val="center"/>
          </w:tcPr>
          <w:p w14:paraId="1B6E1A17" w14:textId="16793BEC" w:rsidR="00E264EB" w:rsidRPr="00A35C25" w:rsidRDefault="00E264EB">
            <w:pPr>
              <w:jc w:val="center"/>
              <w:rPr>
                <w:rFonts w:ascii="Arial" w:eastAsia="Times New Roman" w:hAnsi="Arial" w:cs="Arial"/>
                <w:sz w:val="18"/>
                <w:szCs w:val="18"/>
                <w:lang w:val="fr-FR" w:eastAsia="fr-FR"/>
              </w:rPr>
            </w:pPr>
            <w:r w:rsidRPr="2DB8AA85">
              <w:rPr>
                <w:rFonts w:ascii="Arial" w:eastAsia="Times New Roman" w:hAnsi="Arial" w:cs="Arial"/>
                <w:sz w:val="18"/>
                <w:szCs w:val="18"/>
                <w:lang w:eastAsia="fr-FR"/>
              </w:rPr>
              <w:t>315</w:t>
            </w:r>
            <w:r w:rsidR="000C0796">
              <w:rPr>
                <w:rFonts w:ascii="Arial" w:eastAsia="Times New Roman" w:hAnsi="Arial" w:cs="Arial"/>
                <w:sz w:val="18"/>
                <w:szCs w:val="18"/>
                <w:lang w:eastAsia="fr-FR"/>
              </w:rPr>
              <w:t>,</w:t>
            </w:r>
            <w:r w:rsidRPr="2DB8AA85">
              <w:rPr>
                <w:rFonts w:ascii="Arial" w:eastAsia="Times New Roman" w:hAnsi="Arial" w:cs="Arial"/>
                <w:sz w:val="18"/>
                <w:szCs w:val="18"/>
                <w:lang w:eastAsia="fr-FR"/>
              </w:rPr>
              <w:t>0</w:t>
            </w:r>
          </w:p>
        </w:tc>
        <w:tc>
          <w:tcPr>
            <w:tcW w:w="1163" w:type="dxa"/>
            <w:tcBorders>
              <w:right w:val="dotted" w:sz="4" w:space="0" w:color="auto"/>
            </w:tcBorders>
            <w:vAlign w:val="center"/>
          </w:tcPr>
          <w:p w14:paraId="69EBA41E" w14:textId="37FD0760" w:rsidR="00E264EB" w:rsidRDefault="00E264EB">
            <w:pPr>
              <w:jc w:val="center"/>
              <w:rPr>
                <w:rFonts w:ascii="Arial" w:hAnsi="Arial" w:cs="Arial"/>
                <w:sz w:val="18"/>
                <w:szCs w:val="18"/>
              </w:rPr>
            </w:pPr>
            <w:r w:rsidRPr="6C33A073">
              <w:rPr>
                <w:rFonts w:ascii="Arial" w:hAnsi="Arial" w:cs="Arial"/>
                <w:sz w:val="18"/>
                <w:szCs w:val="18"/>
              </w:rPr>
              <w:t>288</w:t>
            </w:r>
            <w:r w:rsidR="000C0796">
              <w:rPr>
                <w:rFonts w:ascii="Arial" w:hAnsi="Arial" w:cs="Arial"/>
                <w:sz w:val="18"/>
                <w:szCs w:val="18"/>
              </w:rPr>
              <w:t>,</w:t>
            </w:r>
            <w:r w:rsidRPr="6C33A073">
              <w:rPr>
                <w:rFonts w:ascii="Arial" w:hAnsi="Arial" w:cs="Arial"/>
                <w:sz w:val="18"/>
                <w:szCs w:val="18"/>
              </w:rPr>
              <w:t>2</w:t>
            </w:r>
          </w:p>
        </w:tc>
        <w:tc>
          <w:tcPr>
            <w:tcW w:w="1163" w:type="dxa"/>
            <w:tcBorders>
              <w:left w:val="dotted" w:sz="4" w:space="0" w:color="auto"/>
            </w:tcBorders>
            <w:vAlign w:val="center"/>
          </w:tcPr>
          <w:p w14:paraId="100402D8" w14:textId="198B515B" w:rsidR="00E264EB" w:rsidRPr="0038612D" w:rsidRDefault="000C0796">
            <w:pPr>
              <w:tabs>
                <w:tab w:val="left" w:pos="410"/>
              </w:tabs>
              <w:spacing w:before="40" w:after="40"/>
              <w:jc w:val="center"/>
              <w:rPr>
                <w:rFonts w:ascii="Arial" w:eastAsia="Arial" w:hAnsi="Arial" w:cs="Arial"/>
                <w:color w:val="000000" w:themeColor="text1"/>
                <w:sz w:val="18"/>
                <w:szCs w:val="18"/>
              </w:rPr>
            </w:pPr>
            <w:r>
              <w:rPr>
                <w:rFonts w:ascii="Arial" w:eastAsia="Arial" w:hAnsi="Arial" w:cs="Arial"/>
                <w:color w:val="000000" w:themeColor="text1"/>
                <w:sz w:val="18"/>
                <w:szCs w:val="18"/>
              </w:rPr>
              <w:t>+9,</w:t>
            </w:r>
            <w:r w:rsidR="00E264EB" w:rsidRPr="2DB8AA85">
              <w:rPr>
                <w:rFonts w:ascii="Arial" w:eastAsia="Arial" w:hAnsi="Arial" w:cs="Arial"/>
                <w:color w:val="000000" w:themeColor="text1"/>
                <w:sz w:val="18"/>
                <w:szCs w:val="18"/>
              </w:rPr>
              <w:t>3%</w:t>
            </w:r>
          </w:p>
        </w:tc>
        <w:tc>
          <w:tcPr>
            <w:tcW w:w="1164" w:type="dxa"/>
            <w:vAlign w:val="center"/>
          </w:tcPr>
          <w:p w14:paraId="04EDDA2F" w14:textId="10BCD42C" w:rsidR="00E264EB" w:rsidRPr="0038612D" w:rsidRDefault="000C0796">
            <w:pPr>
              <w:tabs>
                <w:tab w:val="left" w:pos="410"/>
              </w:tabs>
              <w:spacing w:before="40" w:after="40"/>
              <w:jc w:val="center"/>
              <w:rPr>
                <w:rFonts w:ascii="Arial" w:eastAsia="Arial" w:hAnsi="Arial" w:cs="Arial"/>
                <w:color w:val="000000" w:themeColor="text1"/>
                <w:sz w:val="18"/>
                <w:szCs w:val="18"/>
              </w:rPr>
            </w:pPr>
            <w:r>
              <w:rPr>
                <w:rFonts w:ascii="Arial" w:eastAsia="Arial" w:hAnsi="Arial" w:cs="Arial"/>
                <w:color w:val="000000" w:themeColor="text1"/>
                <w:sz w:val="18"/>
                <w:szCs w:val="18"/>
              </w:rPr>
              <w:t>+6,</w:t>
            </w:r>
            <w:r w:rsidR="00E264EB" w:rsidRPr="2DB8AA85">
              <w:rPr>
                <w:rFonts w:ascii="Arial" w:eastAsia="Arial" w:hAnsi="Arial" w:cs="Arial"/>
                <w:color w:val="000000" w:themeColor="text1"/>
                <w:sz w:val="18"/>
                <w:szCs w:val="18"/>
              </w:rPr>
              <w:t>1%</w:t>
            </w:r>
          </w:p>
        </w:tc>
      </w:tr>
      <w:tr w:rsidR="00E264EB" w:rsidRPr="00620548" w14:paraId="1A9C8E0E" w14:textId="77777777" w:rsidTr="00FC65D5">
        <w:trPr>
          <w:trHeight w:val="392"/>
          <w:jc w:val="center"/>
        </w:trPr>
        <w:tc>
          <w:tcPr>
            <w:tcW w:w="1701" w:type="dxa"/>
            <w:tcBorders>
              <w:bottom w:val="single" w:sz="4" w:space="0" w:color="auto"/>
            </w:tcBorders>
            <w:vAlign w:val="center"/>
          </w:tcPr>
          <w:p w14:paraId="7FEBEF1B" w14:textId="4EA0664D" w:rsidR="00E264EB" w:rsidRPr="00D008A5" w:rsidRDefault="00AD6945">
            <w:pPr>
              <w:spacing w:before="40" w:after="40"/>
              <w:rPr>
                <w:rFonts w:ascii="Arial" w:hAnsi="Arial" w:cs="Arial"/>
                <w:b/>
                <w:sz w:val="18"/>
                <w:szCs w:val="18"/>
              </w:rPr>
            </w:pPr>
            <w:proofErr w:type="spellStart"/>
            <w:r>
              <w:rPr>
                <w:rFonts w:ascii="Arial" w:hAnsi="Arial" w:cs="Arial"/>
                <w:b/>
                <w:sz w:val="18"/>
                <w:szCs w:val="18"/>
              </w:rPr>
              <w:t>Affission</w:t>
            </w:r>
            <w:r w:rsidR="000D3FF0">
              <w:rPr>
                <w:rFonts w:ascii="Arial" w:hAnsi="Arial" w:cs="Arial"/>
                <w:b/>
                <w:sz w:val="18"/>
                <w:szCs w:val="18"/>
              </w:rPr>
              <w:t>e</w:t>
            </w:r>
            <w:proofErr w:type="spellEnd"/>
          </w:p>
        </w:tc>
        <w:tc>
          <w:tcPr>
            <w:tcW w:w="1163" w:type="dxa"/>
            <w:tcBorders>
              <w:bottom w:val="single" w:sz="4" w:space="0" w:color="auto"/>
            </w:tcBorders>
            <w:vAlign w:val="center"/>
          </w:tcPr>
          <w:p w14:paraId="1940CDDB" w14:textId="4D0278EC" w:rsidR="00E264EB" w:rsidRPr="00A35C25" w:rsidRDefault="00E264EB">
            <w:pPr>
              <w:spacing w:line="259" w:lineRule="auto"/>
              <w:jc w:val="center"/>
              <w:rPr>
                <w:rFonts w:ascii="Arial" w:eastAsia="Times New Roman" w:hAnsi="Arial" w:cs="Arial"/>
                <w:sz w:val="18"/>
                <w:szCs w:val="18"/>
                <w:lang w:val="fr-FR" w:eastAsia="fr-FR"/>
              </w:rPr>
            </w:pPr>
            <w:r w:rsidRPr="2DB8AA85">
              <w:rPr>
                <w:rFonts w:ascii="Arial" w:eastAsia="Times New Roman" w:hAnsi="Arial" w:cs="Arial"/>
                <w:sz w:val="18"/>
                <w:szCs w:val="18"/>
                <w:lang w:eastAsia="fr-FR"/>
              </w:rPr>
              <w:t>120</w:t>
            </w:r>
            <w:r w:rsidR="000C0796">
              <w:rPr>
                <w:rFonts w:ascii="Arial" w:eastAsia="Times New Roman" w:hAnsi="Arial" w:cs="Arial"/>
                <w:sz w:val="18"/>
                <w:szCs w:val="18"/>
                <w:lang w:eastAsia="fr-FR"/>
              </w:rPr>
              <w:t>,</w:t>
            </w:r>
            <w:r w:rsidRPr="2DB8AA85">
              <w:rPr>
                <w:rFonts w:ascii="Arial" w:eastAsia="Times New Roman" w:hAnsi="Arial" w:cs="Arial"/>
                <w:sz w:val="18"/>
                <w:szCs w:val="18"/>
                <w:lang w:eastAsia="fr-FR"/>
              </w:rPr>
              <w:t>5</w:t>
            </w:r>
          </w:p>
        </w:tc>
        <w:tc>
          <w:tcPr>
            <w:tcW w:w="1163" w:type="dxa"/>
            <w:tcBorders>
              <w:bottom w:val="single" w:sz="4" w:space="0" w:color="auto"/>
              <w:right w:val="dotted" w:sz="4" w:space="0" w:color="auto"/>
            </w:tcBorders>
            <w:vAlign w:val="center"/>
          </w:tcPr>
          <w:p w14:paraId="66260586" w14:textId="77777777" w:rsidR="00E264EB" w:rsidRDefault="00E264EB">
            <w:pPr>
              <w:jc w:val="center"/>
              <w:rPr>
                <w:rFonts w:ascii="Arial" w:hAnsi="Arial" w:cs="Arial"/>
                <w:sz w:val="18"/>
                <w:szCs w:val="18"/>
              </w:rPr>
            </w:pPr>
            <w:r w:rsidRPr="6C33A073">
              <w:rPr>
                <w:rFonts w:ascii="Arial" w:hAnsi="Arial" w:cs="Arial"/>
                <w:sz w:val="18"/>
                <w:szCs w:val="18"/>
              </w:rPr>
              <w:t>112,6</w:t>
            </w:r>
          </w:p>
        </w:tc>
        <w:tc>
          <w:tcPr>
            <w:tcW w:w="1163" w:type="dxa"/>
            <w:tcBorders>
              <w:left w:val="dotted" w:sz="4" w:space="0" w:color="auto"/>
              <w:bottom w:val="single" w:sz="4" w:space="0" w:color="auto"/>
            </w:tcBorders>
            <w:vAlign w:val="center"/>
          </w:tcPr>
          <w:p w14:paraId="5BAEE402" w14:textId="680B1992" w:rsidR="00E264EB" w:rsidRPr="0038612D" w:rsidRDefault="00E264EB">
            <w:pPr>
              <w:spacing w:before="40" w:after="40"/>
              <w:jc w:val="center"/>
              <w:rPr>
                <w:rFonts w:ascii="Arial" w:eastAsia="Arial" w:hAnsi="Arial" w:cs="Arial"/>
                <w:color w:val="000000" w:themeColor="text1"/>
                <w:sz w:val="18"/>
                <w:szCs w:val="18"/>
              </w:rPr>
            </w:pPr>
            <w:r w:rsidRPr="2DB8AA85">
              <w:rPr>
                <w:rFonts w:ascii="Arial" w:eastAsia="Arial" w:hAnsi="Arial" w:cs="Arial"/>
                <w:color w:val="000000" w:themeColor="text1"/>
                <w:sz w:val="18"/>
                <w:szCs w:val="18"/>
              </w:rPr>
              <w:t>+7</w:t>
            </w:r>
            <w:r w:rsidR="000C0796">
              <w:rPr>
                <w:rFonts w:ascii="Arial" w:eastAsia="Arial" w:hAnsi="Arial" w:cs="Arial"/>
                <w:color w:val="000000" w:themeColor="text1"/>
                <w:sz w:val="18"/>
                <w:szCs w:val="18"/>
              </w:rPr>
              <w:t>,</w:t>
            </w:r>
            <w:r w:rsidRPr="2DB8AA85">
              <w:rPr>
                <w:rFonts w:ascii="Arial" w:eastAsia="Arial" w:hAnsi="Arial" w:cs="Arial"/>
                <w:color w:val="000000" w:themeColor="text1"/>
                <w:sz w:val="18"/>
                <w:szCs w:val="18"/>
              </w:rPr>
              <w:t>1%</w:t>
            </w:r>
          </w:p>
        </w:tc>
        <w:tc>
          <w:tcPr>
            <w:tcW w:w="1164" w:type="dxa"/>
            <w:tcBorders>
              <w:bottom w:val="single" w:sz="4" w:space="0" w:color="auto"/>
            </w:tcBorders>
            <w:vAlign w:val="center"/>
          </w:tcPr>
          <w:p w14:paraId="5F6E0401" w14:textId="372453BB" w:rsidR="00E264EB" w:rsidRPr="0038612D" w:rsidRDefault="000C0796">
            <w:pPr>
              <w:spacing w:before="40" w:after="40"/>
              <w:jc w:val="center"/>
              <w:rPr>
                <w:rFonts w:ascii="Arial" w:eastAsia="Arial" w:hAnsi="Arial" w:cs="Arial"/>
                <w:color w:val="000000" w:themeColor="text1"/>
                <w:sz w:val="18"/>
                <w:szCs w:val="18"/>
              </w:rPr>
            </w:pPr>
            <w:r>
              <w:rPr>
                <w:rFonts w:ascii="Arial" w:eastAsia="Arial" w:hAnsi="Arial" w:cs="Arial"/>
                <w:color w:val="000000" w:themeColor="text1"/>
                <w:sz w:val="18"/>
                <w:szCs w:val="18"/>
              </w:rPr>
              <w:t>+4,</w:t>
            </w:r>
            <w:r w:rsidR="00E264EB" w:rsidRPr="2DB8AA85">
              <w:rPr>
                <w:rFonts w:ascii="Arial" w:eastAsia="Arial" w:hAnsi="Arial" w:cs="Arial"/>
                <w:color w:val="000000" w:themeColor="text1"/>
                <w:sz w:val="18"/>
                <w:szCs w:val="18"/>
              </w:rPr>
              <w:t>6%</w:t>
            </w:r>
          </w:p>
        </w:tc>
      </w:tr>
      <w:tr w:rsidR="00E264EB" w:rsidRPr="00E977E0" w14:paraId="4FF0930B" w14:textId="77777777" w:rsidTr="00FC65D5">
        <w:trPr>
          <w:trHeight w:val="230"/>
          <w:jc w:val="center"/>
        </w:trPr>
        <w:tc>
          <w:tcPr>
            <w:tcW w:w="1701" w:type="dxa"/>
            <w:tcBorders>
              <w:top w:val="single" w:sz="4" w:space="0" w:color="auto"/>
            </w:tcBorders>
            <w:vAlign w:val="center"/>
          </w:tcPr>
          <w:p w14:paraId="030273F3" w14:textId="77777777" w:rsidR="00E264EB" w:rsidRPr="00E977E0" w:rsidRDefault="00E264EB">
            <w:pPr>
              <w:spacing w:before="40" w:after="40"/>
              <w:rPr>
                <w:rFonts w:ascii="Arial" w:hAnsi="Arial" w:cs="Arial"/>
                <w:b/>
                <w:bCs/>
                <w:sz w:val="18"/>
                <w:szCs w:val="18"/>
              </w:rPr>
            </w:pPr>
            <w:proofErr w:type="spellStart"/>
            <w:r w:rsidRPr="00E977E0">
              <w:rPr>
                <w:rFonts w:ascii="Arial" w:hAnsi="Arial" w:cs="Arial"/>
                <w:b/>
                <w:bCs/>
                <w:sz w:val="18"/>
                <w:szCs w:val="18"/>
              </w:rPr>
              <w:t>Totale</w:t>
            </w:r>
            <w:proofErr w:type="spellEnd"/>
          </w:p>
        </w:tc>
        <w:tc>
          <w:tcPr>
            <w:tcW w:w="1163" w:type="dxa"/>
            <w:tcBorders>
              <w:top w:val="single" w:sz="4" w:space="0" w:color="auto"/>
            </w:tcBorders>
            <w:vAlign w:val="center"/>
          </w:tcPr>
          <w:p w14:paraId="1026E1FC" w14:textId="7445187D" w:rsidR="00E264EB" w:rsidRPr="00A35C25" w:rsidRDefault="00E264EB">
            <w:pPr>
              <w:spacing w:line="259" w:lineRule="auto"/>
              <w:jc w:val="center"/>
              <w:rPr>
                <w:rFonts w:ascii="Arial" w:eastAsia="Times New Roman" w:hAnsi="Arial" w:cs="Arial"/>
                <w:b/>
                <w:bCs/>
                <w:sz w:val="18"/>
                <w:szCs w:val="18"/>
                <w:lang w:val="fr-FR" w:eastAsia="fr-FR"/>
              </w:rPr>
            </w:pPr>
            <w:r w:rsidRPr="2DB8AA85">
              <w:rPr>
                <w:rFonts w:ascii="Arial" w:eastAsia="Times New Roman" w:hAnsi="Arial" w:cs="Arial"/>
                <w:b/>
                <w:bCs/>
                <w:sz w:val="18"/>
                <w:szCs w:val="18"/>
                <w:lang w:eastAsia="fr-FR"/>
              </w:rPr>
              <w:t>858</w:t>
            </w:r>
            <w:r w:rsidR="000C0796">
              <w:rPr>
                <w:rFonts w:ascii="Arial" w:eastAsia="Times New Roman" w:hAnsi="Arial" w:cs="Arial"/>
                <w:b/>
                <w:bCs/>
                <w:sz w:val="18"/>
                <w:szCs w:val="18"/>
                <w:lang w:eastAsia="fr-FR"/>
              </w:rPr>
              <w:t>,</w:t>
            </w:r>
            <w:r w:rsidRPr="2DB8AA85">
              <w:rPr>
                <w:rFonts w:ascii="Arial" w:eastAsia="Times New Roman" w:hAnsi="Arial" w:cs="Arial"/>
                <w:b/>
                <w:bCs/>
                <w:sz w:val="18"/>
                <w:szCs w:val="18"/>
                <w:lang w:eastAsia="fr-FR"/>
              </w:rPr>
              <w:t>0</w:t>
            </w:r>
          </w:p>
        </w:tc>
        <w:tc>
          <w:tcPr>
            <w:tcW w:w="1163" w:type="dxa"/>
            <w:tcBorders>
              <w:top w:val="single" w:sz="4" w:space="0" w:color="auto"/>
              <w:right w:val="dotted" w:sz="4" w:space="0" w:color="auto"/>
            </w:tcBorders>
            <w:vAlign w:val="center"/>
          </w:tcPr>
          <w:p w14:paraId="3EB83693" w14:textId="5C65CDD2" w:rsidR="00E264EB" w:rsidRDefault="00E264EB">
            <w:pPr>
              <w:jc w:val="center"/>
              <w:rPr>
                <w:rFonts w:ascii="Arial" w:hAnsi="Arial" w:cs="Arial"/>
                <w:b/>
                <w:bCs/>
                <w:sz w:val="18"/>
                <w:szCs w:val="18"/>
              </w:rPr>
            </w:pPr>
            <w:r w:rsidRPr="6C33A073">
              <w:rPr>
                <w:rFonts w:ascii="Arial" w:hAnsi="Arial" w:cs="Arial"/>
                <w:b/>
                <w:bCs/>
                <w:sz w:val="18"/>
                <w:szCs w:val="18"/>
              </w:rPr>
              <w:t>801</w:t>
            </w:r>
            <w:r w:rsidR="000C0796">
              <w:rPr>
                <w:rFonts w:ascii="Arial" w:hAnsi="Arial" w:cs="Arial"/>
                <w:b/>
                <w:bCs/>
                <w:sz w:val="18"/>
                <w:szCs w:val="18"/>
              </w:rPr>
              <w:t>,</w:t>
            </w:r>
            <w:r w:rsidRPr="6C33A073">
              <w:rPr>
                <w:rFonts w:ascii="Arial" w:hAnsi="Arial" w:cs="Arial"/>
                <w:b/>
                <w:bCs/>
                <w:sz w:val="18"/>
                <w:szCs w:val="18"/>
              </w:rPr>
              <w:t>6</w:t>
            </w:r>
          </w:p>
        </w:tc>
        <w:tc>
          <w:tcPr>
            <w:tcW w:w="1163" w:type="dxa"/>
            <w:tcBorders>
              <w:top w:val="single" w:sz="4" w:space="0" w:color="auto"/>
              <w:left w:val="dotted" w:sz="4" w:space="0" w:color="auto"/>
            </w:tcBorders>
            <w:vAlign w:val="center"/>
          </w:tcPr>
          <w:p w14:paraId="3C126E75" w14:textId="07AD0C2C" w:rsidR="00E264EB" w:rsidRPr="0038612D" w:rsidRDefault="00E264EB">
            <w:pPr>
              <w:spacing w:before="40" w:after="40"/>
              <w:jc w:val="center"/>
              <w:rPr>
                <w:rFonts w:ascii="Arial" w:eastAsia="Arial" w:hAnsi="Arial" w:cs="Arial"/>
                <w:color w:val="000000" w:themeColor="text1"/>
                <w:sz w:val="18"/>
                <w:szCs w:val="18"/>
              </w:rPr>
            </w:pPr>
            <w:r w:rsidRPr="2DB8AA85">
              <w:rPr>
                <w:rFonts w:ascii="Arial" w:eastAsia="Arial" w:hAnsi="Arial" w:cs="Arial"/>
                <w:b/>
                <w:bCs/>
                <w:color w:val="000000" w:themeColor="text1"/>
                <w:sz w:val="18"/>
                <w:szCs w:val="18"/>
              </w:rPr>
              <w:t>+7</w:t>
            </w:r>
            <w:r w:rsidR="000C0796">
              <w:rPr>
                <w:rFonts w:ascii="Arial" w:eastAsia="Arial" w:hAnsi="Arial" w:cs="Arial"/>
                <w:b/>
                <w:bCs/>
                <w:color w:val="000000" w:themeColor="text1"/>
                <w:sz w:val="18"/>
                <w:szCs w:val="18"/>
              </w:rPr>
              <w:t>,</w:t>
            </w:r>
            <w:r w:rsidRPr="2DB8AA85">
              <w:rPr>
                <w:rFonts w:ascii="Arial" w:eastAsia="Arial" w:hAnsi="Arial" w:cs="Arial"/>
                <w:b/>
                <w:bCs/>
                <w:color w:val="000000" w:themeColor="text1"/>
                <w:sz w:val="18"/>
                <w:szCs w:val="18"/>
              </w:rPr>
              <w:t>0%</w:t>
            </w:r>
          </w:p>
        </w:tc>
        <w:tc>
          <w:tcPr>
            <w:tcW w:w="1164" w:type="dxa"/>
            <w:tcBorders>
              <w:top w:val="single" w:sz="4" w:space="0" w:color="auto"/>
            </w:tcBorders>
            <w:vAlign w:val="center"/>
          </w:tcPr>
          <w:p w14:paraId="2A245C2A" w14:textId="14B8A24B" w:rsidR="00E264EB" w:rsidRPr="0038612D" w:rsidRDefault="000C0796">
            <w:pPr>
              <w:spacing w:before="40" w:after="40"/>
              <w:jc w:val="center"/>
              <w:rPr>
                <w:rFonts w:ascii="Arial" w:eastAsia="Arial" w:hAnsi="Arial" w:cs="Arial"/>
                <w:color w:val="000000" w:themeColor="text1"/>
                <w:sz w:val="18"/>
                <w:szCs w:val="18"/>
              </w:rPr>
            </w:pPr>
            <w:r>
              <w:rPr>
                <w:rFonts w:ascii="Arial" w:eastAsia="Arial" w:hAnsi="Arial" w:cs="Arial"/>
                <w:b/>
                <w:bCs/>
                <w:color w:val="000000" w:themeColor="text1"/>
                <w:sz w:val="18"/>
                <w:szCs w:val="18"/>
              </w:rPr>
              <w:t>+5,</w:t>
            </w:r>
            <w:r w:rsidR="00E264EB" w:rsidRPr="2DB8AA85">
              <w:rPr>
                <w:rFonts w:ascii="Arial" w:eastAsia="Arial" w:hAnsi="Arial" w:cs="Arial"/>
                <w:b/>
                <w:bCs/>
                <w:color w:val="000000" w:themeColor="text1"/>
                <w:sz w:val="18"/>
                <w:szCs w:val="18"/>
              </w:rPr>
              <w:t>5%</w:t>
            </w:r>
          </w:p>
        </w:tc>
      </w:tr>
    </w:tbl>
    <w:p w14:paraId="5B45FA64" w14:textId="77777777" w:rsidR="00E264EB" w:rsidRDefault="00E264EB" w:rsidP="00E264EB">
      <w:pPr>
        <w:pStyle w:val="Paragrafoelenco"/>
        <w:spacing w:after="60"/>
        <w:ind w:left="1854"/>
        <w:jc w:val="both"/>
        <w:rPr>
          <w:rFonts w:ascii="Arial" w:hAnsi="Arial"/>
          <w:b/>
          <w:color w:val="163B5C"/>
          <w:sz w:val="18"/>
          <w:szCs w:val="18"/>
          <w:lang w:val="en-US"/>
        </w:rPr>
      </w:pPr>
    </w:p>
    <w:p w14:paraId="26A3AFA9" w14:textId="0A915D0C" w:rsidR="00E264EB" w:rsidRDefault="00E264EB" w:rsidP="00E264EB">
      <w:pPr>
        <w:ind w:left="1134"/>
        <w:jc w:val="both"/>
        <w:rPr>
          <w:rFonts w:ascii="Arial" w:hAnsi="Arial"/>
          <w:i/>
          <w:sz w:val="18"/>
          <w:lang w:val="it-IT"/>
        </w:rPr>
      </w:pPr>
      <w:r w:rsidRPr="00AD6945">
        <w:rPr>
          <w:rFonts w:ascii="Arial" w:hAnsi="Arial"/>
          <w:i/>
          <w:sz w:val="18"/>
          <w:lang w:val="it-IT"/>
        </w:rPr>
        <w:t xml:space="preserve">Si noti che i commenti di seguito riportati </w:t>
      </w:r>
      <w:r w:rsidR="00732AE6" w:rsidRPr="00AD6945">
        <w:rPr>
          <w:rFonts w:ascii="Arial" w:hAnsi="Arial"/>
          <w:i/>
          <w:sz w:val="18"/>
          <w:lang w:val="it-IT"/>
        </w:rPr>
        <w:t>relativi alle aree geografiche riguardano la crescita del</w:t>
      </w:r>
      <w:r w:rsidR="00AD6945">
        <w:rPr>
          <w:rFonts w:ascii="Arial" w:hAnsi="Arial"/>
          <w:i/>
          <w:sz w:val="18"/>
          <w:lang w:val="it-IT"/>
        </w:rPr>
        <w:t xml:space="preserve"> </w:t>
      </w:r>
      <w:r w:rsidR="00AD6945" w:rsidRPr="00AD6945">
        <w:rPr>
          <w:rFonts w:ascii="Arial" w:eastAsia="Arial" w:hAnsi="Arial" w:cs="Arial"/>
          <w:i/>
          <w:iCs/>
          <w:color w:val="000000" w:themeColor="text1"/>
          <w:sz w:val="20"/>
          <w:lang w:val="it-IT"/>
        </w:rPr>
        <w:t>fatturato</w:t>
      </w:r>
      <w:r w:rsidR="00AD6945" w:rsidRPr="00AD6945">
        <w:rPr>
          <w:rFonts w:ascii="Arial" w:hAnsi="Arial"/>
          <w:i/>
          <w:iCs/>
          <w:sz w:val="18"/>
          <w:lang w:val="it-IT"/>
        </w:rPr>
        <w:t xml:space="preserve"> </w:t>
      </w:r>
      <w:r w:rsidR="00732AE6" w:rsidRPr="00AD6945">
        <w:rPr>
          <w:rFonts w:ascii="Arial" w:hAnsi="Arial"/>
          <w:i/>
          <w:iCs/>
          <w:sz w:val="18"/>
          <w:lang w:val="it-IT"/>
        </w:rPr>
        <w:t>organi</w:t>
      </w:r>
      <w:r w:rsidR="00AD6945" w:rsidRPr="00AD6945">
        <w:rPr>
          <w:rFonts w:ascii="Arial" w:hAnsi="Arial"/>
          <w:i/>
          <w:iCs/>
          <w:sz w:val="18"/>
          <w:lang w:val="it-IT"/>
        </w:rPr>
        <w:t>co</w:t>
      </w:r>
      <w:r w:rsidR="00AD6945">
        <w:rPr>
          <w:rFonts w:ascii="Arial" w:hAnsi="Arial"/>
          <w:i/>
          <w:sz w:val="18"/>
          <w:lang w:val="it-IT"/>
        </w:rPr>
        <w:t>.</w:t>
      </w:r>
    </w:p>
    <w:p w14:paraId="463F2983" w14:textId="77777777" w:rsidR="000C73F3" w:rsidRPr="00AD6945" w:rsidRDefault="000C73F3" w:rsidP="00E264EB">
      <w:pPr>
        <w:ind w:left="1134"/>
        <w:jc w:val="both"/>
        <w:rPr>
          <w:rFonts w:ascii="Arial" w:hAnsi="Arial"/>
          <w:i/>
          <w:sz w:val="18"/>
          <w:lang w:val="it-IT"/>
        </w:rPr>
      </w:pPr>
    </w:p>
    <w:p w14:paraId="7096BE5C" w14:textId="77777777" w:rsidR="00E264EB" w:rsidRPr="00AD6945" w:rsidRDefault="00E264EB" w:rsidP="00E264EB">
      <w:pPr>
        <w:ind w:left="1134"/>
        <w:jc w:val="both"/>
        <w:rPr>
          <w:rFonts w:ascii="Arial" w:hAnsi="Arial"/>
          <w:sz w:val="18"/>
          <w:szCs w:val="18"/>
          <w:lang w:val="it-IT"/>
        </w:rPr>
      </w:pPr>
    </w:p>
    <w:p w14:paraId="6211B2B3" w14:textId="533D0721" w:rsidR="00E264EB" w:rsidRPr="00D036B2" w:rsidRDefault="00E264EB" w:rsidP="00E264EB">
      <w:pPr>
        <w:pStyle w:val="Paragrafoelenco"/>
        <w:numPr>
          <w:ilvl w:val="0"/>
          <w:numId w:val="32"/>
        </w:numPr>
        <w:spacing w:after="60"/>
        <w:jc w:val="both"/>
        <w:rPr>
          <w:rFonts w:ascii="Arial" w:hAnsi="Arial"/>
          <w:b/>
          <w:color w:val="163B5C"/>
          <w:sz w:val="18"/>
          <w:szCs w:val="18"/>
          <w:lang w:val="en-US"/>
        </w:rPr>
      </w:pPr>
      <w:proofErr w:type="spellStart"/>
      <w:r w:rsidRPr="75B220F3">
        <w:rPr>
          <w:rFonts w:ascii="Arial" w:hAnsi="Arial"/>
          <w:b/>
          <w:bCs/>
          <w:color w:val="163B5C"/>
          <w:sz w:val="18"/>
          <w:szCs w:val="18"/>
        </w:rPr>
        <w:t>Arredo</w:t>
      </w:r>
      <w:proofErr w:type="spellEnd"/>
      <w:r w:rsidRPr="75B220F3">
        <w:rPr>
          <w:rFonts w:ascii="Arial" w:hAnsi="Arial"/>
          <w:b/>
          <w:bCs/>
          <w:color w:val="163B5C"/>
          <w:sz w:val="18"/>
          <w:szCs w:val="18"/>
        </w:rPr>
        <w:t xml:space="preserve"> </w:t>
      </w:r>
      <w:r w:rsidR="000D3FF0">
        <w:rPr>
          <w:rFonts w:ascii="Arial" w:hAnsi="Arial"/>
          <w:b/>
          <w:bCs/>
          <w:color w:val="163B5C"/>
          <w:sz w:val="18"/>
          <w:szCs w:val="18"/>
        </w:rPr>
        <w:t>U</w:t>
      </w:r>
      <w:r w:rsidRPr="75B220F3">
        <w:rPr>
          <w:rFonts w:ascii="Arial" w:hAnsi="Arial"/>
          <w:b/>
          <w:bCs/>
          <w:color w:val="163B5C"/>
          <w:sz w:val="18"/>
          <w:szCs w:val="18"/>
        </w:rPr>
        <w:t>rbano</w:t>
      </w:r>
    </w:p>
    <w:p w14:paraId="5C0170CA" w14:textId="393C3945" w:rsidR="00E264EB" w:rsidRPr="00AD6945" w:rsidRDefault="00AD6945" w:rsidP="00E264EB">
      <w:pPr>
        <w:ind w:left="1134"/>
        <w:jc w:val="both"/>
        <w:rPr>
          <w:rFonts w:ascii="Arial" w:eastAsia="Arial" w:hAnsi="Arial" w:cs="Arial"/>
          <w:color w:val="000000" w:themeColor="text1"/>
          <w:sz w:val="18"/>
          <w:szCs w:val="18"/>
          <w:lang w:val="it-IT"/>
        </w:rPr>
      </w:pPr>
      <w:r>
        <w:rPr>
          <w:rFonts w:ascii="Arial" w:eastAsia="Arial" w:hAnsi="Arial" w:cs="Arial"/>
          <w:color w:val="000000" w:themeColor="text1"/>
          <w:sz w:val="18"/>
          <w:szCs w:val="18"/>
          <w:lang w:val="it-IT"/>
        </w:rPr>
        <w:t>Il fatturato</w:t>
      </w:r>
      <w:r w:rsidR="00E264EB" w:rsidRPr="00AD6945">
        <w:rPr>
          <w:rFonts w:ascii="Arial" w:eastAsia="Arial" w:hAnsi="Arial" w:cs="Arial"/>
          <w:color w:val="000000" w:themeColor="text1"/>
          <w:sz w:val="18"/>
          <w:szCs w:val="18"/>
          <w:lang w:val="it-IT"/>
        </w:rPr>
        <w:t xml:space="preserve"> del primo trimestre </w:t>
      </w:r>
      <w:r>
        <w:rPr>
          <w:rFonts w:ascii="Arial" w:eastAsia="Arial" w:hAnsi="Arial" w:cs="Arial"/>
          <w:color w:val="000000" w:themeColor="text1"/>
          <w:sz w:val="18"/>
          <w:szCs w:val="18"/>
          <w:lang w:val="it-IT"/>
        </w:rPr>
        <w:t xml:space="preserve">è </w:t>
      </w:r>
      <w:r w:rsidR="00A249DD" w:rsidRPr="00AD6945">
        <w:rPr>
          <w:rFonts w:ascii="Arial" w:eastAsia="Arial" w:hAnsi="Arial" w:cs="Arial"/>
          <w:color w:val="000000" w:themeColor="text1"/>
          <w:sz w:val="18"/>
          <w:szCs w:val="18"/>
          <w:lang w:val="it-IT"/>
        </w:rPr>
        <w:t>aumentat</w:t>
      </w:r>
      <w:r>
        <w:rPr>
          <w:rFonts w:ascii="Arial" w:eastAsia="Arial" w:hAnsi="Arial" w:cs="Arial"/>
          <w:color w:val="000000" w:themeColor="text1"/>
          <w:sz w:val="18"/>
          <w:szCs w:val="18"/>
          <w:lang w:val="it-IT"/>
        </w:rPr>
        <w:t xml:space="preserve">o </w:t>
      </w:r>
      <w:r w:rsidR="00E264EB" w:rsidRPr="00AD6945">
        <w:rPr>
          <w:rFonts w:ascii="Arial" w:eastAsia="Arial" w:hAnsi="Arial" w:cs="Arial"/>
          <w:color w:val="000000" w:themeColor="text1"/>
          <w:sz w:val="18"/>
          <w:szCs w:val="18"/>
          <w:lang w:val="it-IT"/>
        </w:rPr>
        <w:t>del +5,4% a 422,5 milioni di euro</w:t>
      </w:r>
      <w:r w:rsidR="005A3A7E" w:rsidRPr="00AD6945">
        <w:rPr>
          <w:rFonts w:ascii="Arial" w:eastAsia="Arial" w:hAnsi="Arial" w:cs="Arial"/>
          <w:color w:val="000000" w:themeColor="text1"/>
          <w:sz w:val="18"/>
          <w:szCs w:val="18"/>
          <w:lang w:val="it-IT"/>
        </w:rPr>
        <w:t xml:space="preserve">, del </w:t>
      </w:r>
      <w:r w:rsidR="00E264EB" w:rsidRPr="00AD6945">
        <w:rPr>
          <w:rFonts w:ascii="Arial" w:eastAsia="Arial" w:hAnsi="Arial" w:cs="Arial"/>
          <w:color w:val="000000" w:themeColor="text1"/>
          <w:sz w:val="18"/>
          <w:szCs w:val="18"/>
          <w:lang w:val="it-IT"/>
        </w:rPr>
        <w:t xml:space="preserve">+5,3% su base organica, grazie alle ottime performance </w:t>
      </w:r>
      <w:r w:rsidR="00432F17" w:rsidRPr="00AD6945">
        <w:rPr>
          <w:rFonts w:ascii="Arial" w:eastAsia="Arial" w:hAnsi="Arial" w:cs="Arial"/>
          <w:color w:val="000000" w:themeColor="text1"/>
          <w:sz w:val="18"/>
          <w:szCs w:val="18"/>
          <w:lang w:val="it-IT"/>
        </w:rPr>
        <w:t>nel</w:t>
      </w:r>
      <w:r w:rsidR="00E264EB" w:rsidRPr="00AD6945">
        <w:rPr>
          <w:rFonts w:ascii="Arial" w:eastAsia="Arial" w:hAnsi="Arial" w:cs="Arial"/>
          <w:color w:val="000000" w:themeColor="text1"/>
          <w:sz w:val="18"/>
          <w:szCs w:val="18"/>
          <w:lang w:val="it-IT"/>
        </w:rPr>
        <w:t xml:space="preserve"> Resto del Mondo</w:t>
      </w:r>
      <w:r w:rsidR="00432F17" w:rsidRPr="00AD6945">
        <w:rPr>
          <w:rFonts w:ascii="Arial" w:eastAsia="Arial" w:hAnsi="Arial" w:cs="Arial"/>
          <w:color w:val="000000" w:themeColor="text1"/>
          <w:sz w:val="18"/>
          <w:szCs w:val="18"/>
          <w:lang w:val="it-IT"/>
        </w:rPr>
        <w:t xml:space="preserve">, nel </w:t>
      </w:r>
      <w:r w:rsidR="00E264EB" w:rsidRPr="00AD6945">
        <w:rPr>
          <w:rFonts w:ascii="Arial" w:eastAsia="Arial" w:hAnsi="Arial" w:cs="Arial"/>
          <w:color w:val="000000" w:themeColor="text1"/>
          <w:sz w:val="18"/>
          <w:szCs w:val="18"/>
          <w:lang w:val="it-IT"/>
        </w:rPr>
        <w:t>Resto d'Europa e in Nord America.</w:t>
      </w:r>
    </w:p>
    <w:p w14:paraId="3E50E793" w14:textId="77777777" w:rsidR="00E264EB" w:rsidRPr="00AD6945" w:rsidRDefault="00E264EB" w:rsidP="00E264EB">
      <w:pPr>
        <w:ind w:left="1134"/>
        <w:jc w:val="both"/>
        <w:rPr>
          <w:rFonts w:ascii="Arial" w:eastAsia="Arial" w:hAnsi="Arial" w:cs="Arial"/>
          <w:color w:val="000000" w:themeColor="text1"/>
          <w:sz w:val="12"/>
          <w:szCs w:val="12"/>
          <w:lang w:val="it-IT"/>
        </w:rPr>
      </w:pPr>
    </w:p>
    <w:p w14:paraId="40D0C559" w14:textId="79ECBC20" w:rsidR="00E264EB" w:rsidRPr="00AD6945" w:rsidRDefault="00E264EB" w:rsidP="00E264EB">
      <w:pPr>
        <w:spacing w:after="120"/>
        <w:ind w:left="1134"/>
        <w:jc w:val="both"/>
        <w:rPr>
          <w:rFonts w:ascii="Arial" w:eastAsia="Arial" w:hAnsi="Arial" w:cs="Arial"/>
          <w:color w:val="000000" w:themeColor="text1"/>
          <w:sz w:val="18"/>
          <w:szCs w:val="18"/>
          <w:highlight w:val="cyan"/>
          <w:lang w:val="it-IT"/>
        </w:rPr>
      </w:pPr>
      <w:r w:rsidRPr="00AD6945">
        <w:rPr>
          <w:rFonts w:ascii="Arial" w:eastAsia="Arial" w:hAnsi="Arial" w:cs="Arial"/>
          <w:color w:val="000000" w:themeColor="text1"/>
          <w:sz w:val="18"/>
          <w:szCs w:val="18"/>
          <w:lang w:val="it-IT"/>
        </w:rPr>
        <w:t xml:space="preserve">I </w:t>
      </w:r>
      <w:r w:rsidR="00F231A9">
        <w:rPr>
          <w:rFonts w:ascii="Arial" w:eastAsia="Arial" w:hAnsi="Arial" w:cs="Arial"/>
          <w:color w:val="000000" w:themeColor="text1"/>
          <w:sz w:val="18"/>
          <w:szCs w:val="18"/>
          <w:lang w:val="it-IT"/>
        </w:rPr>
        <w:t>fatturati</w:t>
      </w:r>
      <w:r w:rsidRPr="00AD6945">
        <w:rPr>
          <w:rFonts w:ascii="Arial" w:eastAsia="Arial" w:hAnsi="Arial" w:cs="Arial"/>
          <w:color w:val="000000" w:themeColor="text1"/>
          <w:sz w:val="18"/>
          <w:szCs w:val="18"/>
          <w:lang w:val="it-IT"/>
        </w:rPr>
        <w:t xml:space="preserve"> pubblicitari del primo trimestre, </w:t>
      </w:r>
      <w:r w:rsidR="007A32B8" w:rsidRPr="00AD6945">
        <w:rPr>
          <w:rFonts w:ascii="Arial" w:eastAsia="Arial" w:hAnsi="Arial" w:cs="Arial"/>
          <w:color w:val="000000" w:themeColor="text1"/>
          <w:sz w:val="18"/>
          <w:szCs w:val="18"/>
          <w:lang w:val="it-IT"/>
        </w:rPr>
        <w:t>esclusi i ricavi da vendita, noleggio e manutenzione di arredi urbani e impianti pubblicitar</w:t>
      </w:r>
      <w:r w:rsidR="00AD6945">
        <w:rPr>
          <w:rFonts w:ascii="Arial" w:eastAsia="Arial" w:hAnsi="Arial" w:cs="Arial"/>
          <w:color w:val="000000" w:themeColor="text1"/>
          <w:sz w:val="18"/>
          <w:szCs w:val="18"/>
          <w:lang w:val="it-IT"/>
        </w:rPr>
        <w:t xml:space="preserve">i sono </w:t>
      </w:r>
      <w:r w:rsidR="005A3A7E" w:rsidRPr="00AD6945">
        <w:rPr>
          <w:rFonts w:ascii="Arial" w:eastAsia="Arial" w:hAnsi="Arial" w:cs="Arial"/>
          <w:color w:val="000000" w:themeColor="text1"/>
          <w:sz w:val="18"/>
          <w:szCs w:val="18"/>
          <w:lang w:val="it-IT"/>
        </w:rPr>
        <w:t xml:space="preserve">aumentati del </w:t>
      </w:r>
      <w:r w:rsidR="00F231A9">
        <w:rPr>
          <w:rFonts w:ascii="Arial" w:eastAsia="Arial" w:hAnsi="Arial" w:cs="Arial"/>
          <w:color w:val="000000" w:themeColor="text1"/>
          <w:sz w:val="18"/>
          <w:szCs w:val="18"/>
          <w:lang w:val="it-IT"/>
        </w:rPr>
        <w:t>+</w:t>
      </w:r>
      <w:r w:rsidRPr="00AD6945">
        <w:rPr>
          <w:rFonts w:ascii="Arial" w:eastAsia="Arial" w:hAnsi="Arial" w:cs="Arial"/>
          <w:color w:val="000000" w:themeColor="text1"/>
          <w:sz w:val="18"/>
          <w:szCs w:val="18"/>
          <w:lang w:val="it-IT"/>
        </w:rPr>
        <w:t xml:space="preserve">5,4% su </w:t>
      </w:r>
      <w:r w:rsidR="005A3A7E" w:rsidRPr="00AD6945">
        <w:rPr>
          <w:rFonts w:ascii="Arial" w:eastAsia="Arial" w:hAnsi="Arial" w:cs="Arial"/>
          <w:color w:val="000000" w:themeColor="text1"/>
          <w:sz w:val="18"/>
          <w:szCs w:val="18"/>
          <w:lang w:val="it-IT"/>
        </w:rPr>
        <w:t>base organica</w:t>
      </w:r>
      <w:r w:rsidRPr="00AD6945">
        <w:rPr>
          <w:rFonts w:ascii="Arial" w:eastAsia="Arial" w:hAnsi="Arial" w:cs="Arial"/>
          <w:color w:val="000000" w:themeColor="text1"/>
          <w:sz w:val="18"/>
          <w:szCs w:val="18"/>
          <w:lang w:val="it-IT"/>
        </w:rPr>
        <w:t>.</w:t>
      </w:r>
    </w:p>
    <w:p w14:paraId="242FC418" w14:textId="77777777" w:rsidR="00E264EB" w:rsidRPr="00AD6945" w:rsidRDefault="00E264EB" w:rsidP="00E264EB">
      <w:pPr>
        <w:ind w:left="1134"/>
        <w:jc w:val="both"/>
        <w:rPr>
          <w:rFonts w:ascii="Arial" w:hAnsi="Arial"/>
          <w:sz w:val="18"/>
          <w:szCs w:val="18"/>
          <w:lang w:val="it-IT"/>
        </w:rPr>
      </w:pPr>
    </w:p>
    <w:p w14:paraId="5782A19D" w14:textId="0A36D477" w:rsidR="00E264EB" w:rsidRPr="00BA1C46" w:rsidRDefault="00E264EB" w:rsidP="00E264EB">
      <w:pPr>
        <w:pStyle w:val="Paragrafoelenco"/>
        <w:numPr>
          <w:ilvl w:val="0"/>
          <w:numId w:val="32"/>
        </w:numPr>
        <w:spacing w:after="60"/>
        <w:jc w:val="both"/>
        <w:rPr>
          <w:rFonts w:ascii="Arial" w:hAnsi="Arial"/>
          <w:b/>
          <w:color w:val="163B5C"/>
          <w:sz w:val="18"/>
          <w:szCs w:val="18"/>
          <w:lang w:val="en-US"/>
        </w:rPr>
      </w:pPr>
      <w:proofErr w:type="spellStart"/>
      <w:r w:rsidRPr="75B220F3">
        <w:rPr>
          <w:rFonts w:ascii="Arial" w:hAnsi="Arial"/>
          <w:b/>
          <w:bCs/>
          <w:color w:val="163B5C"/>
          <w:sz w:val="18"/>
          <w:szCs w:val="18"/>
        </w:rPr>
        <w:t>Trasport</w:t>
      </w:r>
      <w:r w:rsidR="005F5C48">
        <w:rPr>
          <w:rFonts w:ascii="Arial" w:hAnsi="Arial"/>
          <w:b/>
          <w:bCs/>
          <w:color w:val="163B5C"/>
          <w:sz w:val="18"/>
          <w:szCs w:val="18"/>
        </w:rPr>
        <w:t>i</w:t>
      </w:r>
      <w:proofErr w:type="spellEnd"/>
    </w:p>
    <w:p w14:paraId="497ED628" w14:textId="66D6BE4D" w:rsidR="00E264EB" w:rsidRPr="00AD6945" w:rsidRDefault="00AD6945" w:rsidP="00E264EB">
      <w:pPr>
        <w:ind w:left="1134"/>
        <w:jc w:val="both"/>
        <w:rPr>
          <w:rFonts w:ascii="Arial" w:eastAsia="Times New Roman" w:hAnsi="Arial" w:cs="Arial"/>
          <w:color w:val="000000" w:themeColor="text1"/>
          <w:sz w:val="18"/>
          <w:szCs w:val="18"/>
          <w:lang w:val="it-IT"/>
        </w:rPr>
      </w:pPr>
      <w:r>
        <w:rPr>
          <w:rFonts w:ascii="Arial" w:eastAsia="Arial" w:hAnsi="Arial" w:cs="Arial"/>
          <w:color w:val="000000" w:themeColor="text1"/>
          <w:sz w:val="18"/>
          <w:szCs w:val="18"/>
          <w:lang w:val="it-IT"/>
        </w:rPr>
        <w:t xml:space="preserve">Il fatturato </w:t>
      </w:r>
      <w:r w:rsidR="00E264EB" w:rsidRPr="00AD6945">
        <w:rPr>
          <w:rFonts w:ascii="Arial" w:eastAsia="Arial" w:hAnsi="Arial" w:cs="Arial"/>
          <w:color w:val="000000" w:themeColor="text1"/>
          <w:sz w:val="18"/>
          <w:szCs w:val="18"/>
          <w:lang w:val="it-IT"/>
        </w:rPr>
        <w:t xml:space="preserve">del primo trimestre </w:t>
      </w:r>
      <w:r>
        <w:rPr>
          <w:rFonts w:ascii="Arial" w:eastAsia="Arial" w:hAnsi="Arial" w:cs="Arial"/>
          <w:color w:val="000000" w:themeColor="text1"/>
          <w:sz w:val="18"/>
          <w:szCs w:val="18"/>
          <w:lang w:val="it-IT"/>
        </w:rPr>
        <w:t>è</w:t>
      </w:r>
      <w:r w:rsidR="00A76405" w:rsidRPr="00AD6945">
        <w:rPr>
          <w:rFonts w:ascii="Arial" w:eastAsia="Arial" w:hAnsi="Arial" w:cs="Arial"/>
          <w:color w:val="000000" w:themeColor="text1"/>
          <w:sz w:val="18"/>
          <w:szCs w:val="18"/>
          <w:lang w:val="it-IT"/>
        </w:rPr>
        <w:t xml:space="preserve"> aumentat</w:t>
      </w:r>
      <w:r>
        <w:rPr>
          <w:rFonts w:ascii="Arial" w:eastAsia="Arial" w:hAnsi="Arial" w:cs="Arial"/>
          <w:color w:val="000000" w:themeColor="text1"/>
          <w:sz w:val="18"/>
          <w:szCs w:val="18"/>
          <w:lang w:val="it-IT"/>
        </w:rPr>
        <w:t>o</w:t>
      </w:r>
      <w:r w:rsidR="00A76405" w:rsidRPr="00AD6945">
        <w:rPr>
          <w:rFonts w:ascii="Arial" w:eastAsia="Arial" w:hAnsi="Arial" w:cs="Arial"/>
          <w:color w:val="000000" w:themeColor="text1"/>
          <w:sz w:val="18"/>
          <w:szCs w:val="18"/>
          <w:lang w:val="it-IT"/>
        </w:rPr>
        <w:t xml:space="preserve"> </w:t>
      </w:r>
      <w:r w:rsidR="00E264EB" w:rsidRPr="00AD6945">
        <w:rPr>
          <w:rFonts w:ascii="Arial" w:eastAsia="Arial" w:hAnsi="Arial" w:cs="Arial"/>
          <w:color w:val="000000" w:themeColor="text1"/>
          <w:sz w:val="18"/>
          <w:szCs w:val="18"/>
          <w:lang w:val="it-IT"/>
        </w:rPr>
        <w:t>del +9,3% a 315 milioni di euro</w:t>
      </w:r>
      <w:r w:rsidR="005A3A7E" w:rsidRPr="00AD6945">
        <w:rPr>
          <w:rFonts w:ascii="Arial" w:eastAsia="Arial" w:hAnsi="Arial" w:cs="Arial"/>
          <w:color w:val="000000" w:themeColor="text1"/>
          <w:sz w:val="18"/>
          <w:szCs w:val="18"/>
          <w:lang w:val="it-IT"/>
        </w:rPr>
        <w:t xml:space="preserve">, del </w:t>
      </w:r>
      <w:r w:rsidR="00E264EB" w:rsidRPr="00AD6945">
        <w:rPr>
          <w:rFonts w:ascii="Arial" w:eastAsia="Arial" w:hAnsi="Arial" w:cs="Arial"/>
          <w:color w:val="000000" w:themeColor="text1"/>
          <w:sz w:val="18"/>
          <w:szCs w:val="18"/>
          <w:lang w:val="it-IT"/>
        </w:rPr>
        <w:t>+6,1% su base organica, trainat</w:t>
      </w:r>
      <w:r w:rsidR="00662A46">
        <w:rPr>
          <w:rFonts w:ascii="Arial" w:eastAsia="Arial" w:hAnsi="Arial" w:cs="Arial"/>
          <w:color w:val="000000" w:themeColor="text1"/>
          <w:sz w:val="18"/>
          <w:szCs w:val="18"/>
          <w:lang w:val="it-IT"/>
        </w:rPr>
        <w:t>o</w:t>
      </w:r>
      <w:r w:rsidR="00E264EB" w:rsidRPr="00AD6945">
        <w:rPr>
          <w:rFonts w:ascii="Arial" w:eastAsia="Arial" w:hAnsi="Arial" w:cs="Arial"/>
          <w:color w:val="000000" w:themeColor="text1"/>
          <w:sz w:val="18"/>
          <w:szCs w:val="18"/>
          <w:lang w:val="it-IT"/>
        </w:rPr>
        <w:t xml:space="preserve"> da Regno Unito, </w:t>
      </w:r>
      <w:r w:rsidR="005A3A7E" w:rsidRPr="00AD6945">
        <w:rPr>
          <w:rFonts w:ascii="Arial" w:eastAsia="Arial" w:hAnsi="Arial" w:cs="Arial"/>
          <w:color w:val="000000" w:themeColor="text1"/>
          <w:sz w:val="18"/>
          <w:szCs w:val="18"/>
          <w:lang w:val="it-IT"/>
        </w:rPr>
        <w:t>Resto d'</w:t>
      </w:r>
      <w:r w:rsidR="00E264EB" w:rsidRPr="00AD6945">
        <w:rPr>
          <w:rFonts w:ascii="Arial" w:eastAsia="Arial" w:hAnsi="Arial" w:cs="Arial"/>
          <w:color w:val="000000" w:themeColor="text1"/>
          <w:sz w:val="18"/>
          <w:szCs w:val="18"/>
          <w:lang w:val="it-IT"/>
        </w:rPr>
        <w:t xml:space="preserve">Europa e Nord America, mentre l'Asia-Pacifico </w:t>
      </w:r>
      <w:r w:rsidR="00DF7A8C" w:rsidRPr="00AD6945">
        <w:rPr>
          <w:rFonts w:ascii="Arial" w:eastAsia="Arial" w:hAnsi="Arial" w:cs="Arial"/>
          <w:color w:val="000000" w:themeColor="text1"/>
          <w:sz w:val="18"/>
          <w:szCs w:val="18"/>
          <w:lang w:val="it-IT"/>
        </w:rPr>
        <w:t>ha registrato un leggero aumento (</w:t>
      </w:r>
      <w:r w:rsidR="00FD4201" w:rsidRPr="00AD6945">
        <w:rPr>
          <w:rFonts w:ascii="Arial" w:eastAsia="Arial" w:hAnsi="Arial" w:cs="Arial"/>
          <w:i/>
          <w:iCs/>
          <w:color w:val="000000" w:themeColor="text1"/>
          <w:sz w:val="18"/>
          <w:szCs w:val="18"/>
          <w:lang w:val="it-IT"/>
        </w:rPr>
        <w:t>"low single digit"</w:t>
      </w:r>
      <w:r w:rsidR="006C0CCC" w:rsidRPr="00AD6945">
        <w:rPr>
          <w:rFonts w:ascii="Arial" w:eastAsia="Arial" w:hAnsi="Arial" w:cs="Arial"/>
          <w:color w:val="000000" w:themeColor="text1"/>
          <w:sz w:val="18"/>
          <w:szCs w:val="18"/>
          <w:lang w:val="it-IT"/>
        </w:rPr>
        <w:t xml:space="preserve">), con la </w:t>
      </w:r>
      <w:r w:rsidR="00E264EB" w:rsidRPr="00AD6945">
        <w:rPr>
          <w:rFonts w:ascii="Arial" w:eastAsia="Arial" w:hAnsi="Arial" w:cs="Arial"/>
          <w:color w:val="000000" w:themeColor="text1"/>
          <w:sz w:val="18"/>
          <w:szCs w:val="18"/>
          <w:lang w:val="it-IT"/>
        </w:rPr>
        <w:t xml:space="preserve">Cina stabile. </w:t>
      </w:r>
      <w:r w:rsidR="00FD4201" w:rsidRPr="00AD6945">
        <w:rPr>
          <w:rFonts w:ascii="Arial" w:eastAsia="Times New Roman" w:hAnsi="Arial" w:cs="Arial"/>
          <w:color w:val="000000" w:themeColor="text1"/>
          <w:sz w:val="18"/>
          <w:szCs w:val="18"/>
          <w:lang w:val="it-IT"/>
        </w:rPr>
        <w:t xml:space="preserve">Il </w:t>
      </w:r>
      <w:r w:rsidR="005F5C48">
        <w:rPr>
          <w:rFonts w:ascii="Arial" w:eastAsia="Times New Roman" w:hAnsi="Arial" w:cs="Arial"/>
          <w:color w:val="000000" w:themeColor="text1"/>
          <w:sz w:val="18"/>
          <w:szCs w:val="18"/>
          <w:lang w:val="it-IT"/>
        </w:rPr>
        <w:t>T</w:t>
      </w:r>
      <w:r w:rsidR="00FD4201" w:rsidRPr="00AD6945">
        <w:rPr>
          <w:rFonts w:ascii="Arial" w:eastAsia="Times New Roman" w:hAnsi="Arial" w:cs="Arial"/>
          <w:color w:val="000000" w:themeColor="text1"/>
          <w:sz w:val="18"/>
          <w:szCs w:val="18"/>
          <w:lang w:val="it-IT"/>
        </w:rPr>
        <w:t xml:space="preserve">rasporto continua a </w:t>
      </w:r>
      <w:r w:rsidR="00E264EB" w:rsidRPr="00AD6945">
        <w:rPr>
          <w:rFonts w:ascii="Arial" w:eastAsia="Times New Roman" w:hAnsi="Arial" w:cs="Arial"/>
          <w:color w:val="000000" w:themeColor="text1"/>
          <w:sz w:val="18"/>
          <w:szCs w:val="18"/>
          <w:lang w:val="it-IT"/>
        </w:rPr>
        <w:t>risentire del basso livello di attività in Cina rispetto al periodo pre-Covi</w:t>
      </w:r>
      <w:r w:rsidR="00662A46">
        <w:rPr>
          <w:rFonts w:ascii="Arial" w:eastAsia="Times New Roman" w:hAnsi="Arial" w:cs="Arial"/>
          <w:color w:val="000000" w:themeColor="text1"/>
          <w:sz w:val="18"/>
          <w:szCs w:val="18"/>
          <w:lang w:val="it-IT"/>
        </w:rPr>
        <w:t>d</w:t>
      </w:r>
      <w:r w:rsidR="00E264EB" w:rsidRPr="00AD6945">
        <w:rPr>
          <w:rFonts w:ascii="Arial" w:eastAsia="Times New Roman" w:hAnsi="Arial" w:cs="Arial"/>
          <w:color w:val="000000" w:themeColor="text1"/>
          <w:sz w:val="18"/>
          <w:szCs w:val="18"/>
          <w:lang w:val="it-IT"/>
        </w:rPr>
        <w:t>.</w:t>
      </w:r>
    </w:p>
    <w:p w14:paraId="21EA995F" w14:textId="77777777" w:rsidR="00E264EB" w:rsidRPr="00AD6945" w:rsidRDefault="00E264EB" w:rsidP="00E264EB">
      <w:pPr>
        <w:ind w:left="1134"/>
        <w:jc w:val="both"/>
        <w:rPr>
          <w:rFonts w:ascii="Arial" w:eastAsia="Times New Roman" w:hAnsi="Arial" w:cs="Arial"/>
          <w:color w:val="000000" w:themeColor="text1"/>
          <w:sz w:val="18"/>
          <w:szCs w:val="18"/>
          <w:highlight w:val="cyan"/>
          <w:lang w:val="it-IT"/>
        </w:rPr>
      </w:pPr>
    </w:p>
    <w:p w14:paraId="400A8703" w14:textId="7CD26214" w:rsidR="00E264EB" w:rsidRPr="00AD6945" w:rsidRDefault="005F7B3B" w:rsidP="00E264EB">
      <w:pPr>
        <w:pStyle w:val="Paragrafoelenco"/>
        <w:numPr>
          <w:ilvl w:val="0"/>
          <w:numId w:val="32"/>
        </w:numPr>
        <w:spacing w:after="60"/>
        <w:jc w:val="both"/>
        <w:rPr>
          <w:rFonts w:ascii="Arial" w:hAnsi="Arial"/>
          <w:b/>
          <w:color w:val="163B5C"/>
          <w:sz w:val="18"/>
          <w:szCs w:val="18"/>
          <w:lang w:val="it-IT"/>
        </w:rPr>
      </w:pPr>
      <w:r>
        <w:rPr>
          <w:rFonts w:ascii="Arial" w:hAnsi="Arial"/>
          <w:b/>
          <w:color w:val="163B5C"/>
          <w:sz w:val="18"/>
          <w:szCs w:val="18"/>
          <w:lang w:val="it-IT"/>
        </w:rPr>
        <w:t>Affissione</w:t>
      </w:r>
    </w:p>
    <w:p w14:paraId="6EEA4C16" w14:textId="7F5119C3" w:rsidR="00E264EB" w:rsidRDefault="00E264EB" w:rsidP="00E264EB">
      <w:pPr>
        <w:spacing w:before="120"/>
        <w:ind w:left="1134"/>
        <w:jc w:val="both"/>
        <w:rPr>
          <w:rFonts w:ascii="Arial" w:eastAsia="Arial" w:hAnsi="Arial" w:cs="Arial"/>
          <w:color w:val="000000" w:themeColor="text1"/>
          <w:sz w:val="18"/>
          <w:szCs w:val="18"/>
          <w:lang w:val="it-IT"/>
        </w:rPr>
      </w:pPr>
      <w:r w:rsidRPr="00AD6945">
        <w:rPr>
          <w:rFonts w:ascii="Arial" w:eastAsia="Arial" w:hAnsi="Arial" w:cs="Arial"/>
          <w:color w:val="000000" w:themeColor="text1"/>
          <w:sz w:val="18"/>
          <w:szCs w:val="18"/>
          <w:lang w:val="it-IT"/>
        </w:rPr>
        <w:t>Il fatturato del primo trimestre è aumentato del +7,1% a 120,5 milioni di euro</w:t>
      </w:r>
      <w:r w:rsidR="004A0F0B" w:rsidRPr="00AD6945">
        <w:rPr>
          <w:rFonts w:ascii="Arial" w:eastAsia="Arial" w:hAnsi="Arial" w:cs="Arial"/>
          <w:color w:val="000000" w:themeColor="text1"/>
          <w:sz w:val="18"/>
          <w:szCs w:val="18"/>
          <w:lang w:val="it-IT"/>
        </w:rPr>
        <w:t xml:space="preserve">, con una </w:t>
      </w:r>
      <w:r w:rsidRPr="00AD6945">
        <w:rPr>
          <w:rFonts w:ascii="Arial" w:eastAsia="Arial" w:hAnsi="Arial" w:cs="Arial"/>
          <w:color w:val="000000" w:themeColor="text1"/>
          <w:sz w:val="18"/>
          <w:szCs w:val="18"/>
          <w:lang w:val="it-IT"/>
        </w:rPr>
        <w:t xml:space="preserve">crescita organica del +4,6%, trainata </w:t>
      </w:r>
      <w:r w:rsidR="002B0991" w:rsidRPr="00AD6945">
        <w:rPr>
          <w:rFonts w:ascii="Arial" w:eastAsia="Arial" w:hAnsi="Arial" w:cs="Arial"/>
          <w:color w:val="000000" w:themeColor="text1"/>
          <w:sz w:val="18"/>
          <w:szCs w:val="18"/>
          <w:lang w:val="it-IT"/>
        </w:rPr>
        <w:t>dai mercati più digitalizzati</w:t>
      </w:r>
      <w:r w:rsidRPr="00AD6945">
        <w:rPr>
          <w:rFonts w:ascii="Arial" w:eastAsia="Arial" w:hAnsi="Arial" w:cs="Arial"/>
          <w:color w:val="000000" w:themeColor="text1"/>
          <w:sz w:val="18"/>
          <w:szCs w:val="18"/>
          <w:lang w:val="it-IT"/>
        </w:rPr>
        <w:t>.</w:t>
      </w:r>
    </w:p>
    <w:p w14:paraId="041881B6" w14:textId="77777777" w:rsidR="00D472E1" w:rsidRPr="00AD6945" w:rsidRDefault="00D472E1" w:rsidP="00E264EB">
      <w:pPr>
        <w:spacing w:before="120"/>
        <w:ind w:left="1134"/>
        <w:jc w:val="both"/>
        <w:rPr>
          <w:rFonts w:ascii="Arial" w:eastAsia="Arial" w:hAnsi="Arial" w:cs="Arial"/>
          <w:color w:val="000000" w:themeColor="text1"/>
          <w:sz w:val="18"/>
          <w:szCs w:val="18"/>
          <w:lang w:val="it-IT"/>
        </w:rPr>
      </w:pPr>
    </w:p>
    <w:p w14:paraId="2D75EB91" w14:textId="77777777" w:rsidR="00E264EB" w:rsidRPr="00AD6945" w:rsidRDefault="00E264EB" w:rsidP="00E264EB">
      <w:pPr>
        <w:spacing w:before="120"/>
        <w:ind w:left="1134"/>
        <w:jc w:val="both"/>
        <w:rPr>
          <w:rFonts w:ascii="Arial" w:eastAsia="Arial" w:hAnsi="Arial" w:cs="Arial"/>
          <w:sz w:val="18"/>
          <w:szCs w:val="18"/>
          <w:lang w:val="it-IT"/>
        </w:rPr>
      </w:pPr>
    </w:p>
    <w:p w14:paraId="1FDAF205" w14:textId="2B4D12EA" w:rsidR="00E264EB" w:rsidRPr="00AD6945" w:rsidRDefault="00E264EB" w:rsidP="00E264EB">
      <w:pPr>
        <w:tabs>
          <w:tab w:val="left" w:pos="4065"/>
          <w:tab w:val="center" w:pos="5103"/>
        </w:tabs>
        <w:spacing w:before="120"/>
        <w:ind w:left="1134"/>
        <w:rPr>
          <w:rFonts w:ascii="Arial" w:eastAsia="Arial" w:hAnsi="Arial" w:cs="Arial"/>
          <w:color w:val="163B5C"/>
          <w:sz w:val="32"/>
          <w:szCs w:val="32"/>
          <w:lang w:val="it-IT"/>
        </w:rPr>
      </w:pPr>
      <w:r w:rsidRPr="00AD6945">
        <w:rPr>
          <w:rFonts w:ascii="Arial" w:eastAsia="Arial" w:hAnsi="Arial" w:cs="Arial"/>
          <w:b/>
          <w:bCs/>
          <w:color w:val="163B5C"/>
          <w:sz w:val="32"/>
          <w:szCs w:val="32"/>
          <w:lang w:val="it-IT"/>
        </w:rPr>
        <w:tab/>
      </w:r>
      <w:r w:rsidRPr="00AD6945">
        <w:rPr>
          <w:rFonts w:ascii="Arial" w:eastAsia="Arial" w:hAnsi="Arial" w:cs="Arial"/>
          <w:b/>
          <w:bCs/>
          <w:color w:val="163B5C"/>
          <w:sz w:val="32"/>
          <w:szCs w:val="32"/>
          <w:lang w:val="it-IT"/>
        </w:rPr>
        <w:tab/>
      </w:r>
      <w:r w:rsidR="00D563D4" w:rsidRPr="00AD6945">
        <w:rPr>
          <w:rFonts w:ascii="Arial" w:eastAsia="Arial" w:hAnsi="Arial" w:cs="Arial"/>
          <w:b/>
          <w:bCs/>
          <w:color w:val="163B5C"/>
          <w:sz w:val="32"/>
          <w:szCs w:val="32"/>
          <w:lang w:val="it-IT"/>
        </w:rPr>
        <w:t>Prospettiv</w:t>
      </w:r>
      <w:r w:rsidR="005756C4">
        <w:rPr>
          <w:rFonts w:ascii="Arial" w:eastAsia="Arial" w:hAnsi="Arial" w:cs="Arial"/>
          <w:b/>
          <w:bCs/>
          <w:color w:val="163B5C"/>
          <w:sz w:val="32"/>
          <w:szCs w:val="32"/>
          <w:lang w:val="it-IT"/>
        </w:rPr>
        <w:t>a</w:t>
      </w:r>
    </w:p>
    <w:p w14:paraId="5E6DEE5E" w14:textId="77777777" w:rsidR="005F5C48" w:rsidRDefault="005F5C48" w:rsidP="00DB4AD2">
      <w:pPr>
        <w:spacing w:before="120"/>
        <w:ind w:left="1134"/>
        <w:jc w:val="both"/>
        <w:rPr>
          <w:rFonts w:ascii="Arial" w:eastAsia="Times New Roman" w:hAnsi="Arial" w:cs="Arial"/>
          <w:iCs/>
          <w:sz w:val="18"/>
          <w:szCs w:val="18"/>
          <w:lang w:val="it-IT"/>
        </w:rPr>
      </w:pPr>
    </w:p>
    <w:p w14:paraId="1B799025" w14:textId="40AC155C" w:rsidR="00E264EB" w:rsidRDefault="00E918C6" w:rsidP="00E264EB">
      <w:pPr>
        <w:spacing w:before="120"/>
        <w:ind w:left="1134"/>
        <w:jc w:val="both"/>
        <w:rPr>
          <w:rFonts w:ascii="Arial" w:eastAsia="Arial" w:hAnsi="Arial" w:cs="Arial"/>
          <w:iCs/>
          <w:color w:val="000000" w:themeColor="text1"/>
          <w:sz w:val="18"/>
          <w:szCs w:val="18"/>
          <w:lang w:val="it-IT"/>
        </w:rPr>
      </w:pPr>
      <w:r w:rsidRPr="00E918C6">
        <w:rPr>
          <w:rFonts w:ascii="Arial" w:eastAsia="Arial" w:hAnsi="Arial" w:cs="Arial"/>
          <w:iCs/>
          <w:color w:val="000000" w:themeColor="text1"/>
          <w:sz w:val="18"/>
          <w:szCs w:val="18"/>
          <w:lang w:val="it-IT"/>
        </w:rPr>
        <w:t xml:space="preserve">Per quanto riguarda il secondo trimestre, in un contesto di grandi incertezze sulla situazione economica e geopolitica globale e tenendo conto dell'elevato livello di attività in relazione ai Giochi Olimpici di Parigi e a Euro UEFA 2024 nel secondo e terzo trimestre dello scorso anno, prevediamo ora per il secondo trimestre del 2025 una leggera crescita organica, </w:t>
      </w:r>
      <w:r w:rsidRPr="00C973B4">
        <w:rPr>
          <w:rFonts w:ascii="Arial" w:eastAsia="Arial" w:hAnsi="Arial" w:cs="Arial"/>
          <w:i/>
          <w:color w:val="000000" w:themeColor="text1"/>
          <w:sz w:val="18"/>
          <w:szCs w:val="18"/>
          <w:lang w:val="it-IT"/>
        </w:rPr>
        <w:t>"low single digit"</w:t>
      </w:r>
      <w:r w:rsidRPr="00E918C6">
        <w:rPr>
          <w:rFonts w:ascii="Arial" w:eastAsia="Arial" w:hAnsi="Arial" w:cs="Arial"/>
          <w:iCs/>
          <w:color w:val="000000" w:themeColor="text1"/>
          <w:sz w:val="18"/>
          <w:szCs w:val="18"/>
          <w:lang w:val="it-IT"/>
        </w:rPr>
        <w:t xml:space="preserve">, del fatturato, con attualmente le vendite dell'Arredo Urbano in costante crescita, </w:t>
      </w:r>
      <w:r w:rsidRPr="00C973B4">
        <w:rPr>
          <w:rFonts w:ascii="Arial" w:eastAsia="Arial" w:hAnsi="Arial" w:cs="Arial"/>
          <w:i/>
          <w:color w:val="000000" w:themeColor="text1"/>
          <w:sz w:val="18"/>
          <w:szCs w:val="18"/>
          <w:lang w:val="it-IT"/>
        </w:rPr>
        <w:t>"mid-single digit"</w:t>
      </w:r>
      <w:r w:rsidRPr="00E918C6">
        <w:rPr>
          <w:rFonts w:ascii="Arial" w:eastAsia="Arial" w:hAnsi="Arial" w:cs="Arial"/>
          <w:iCs/>
          <w:color w:val="000000" w:themeColor="text1"/>
          <w:sz w:val="18"/>
          <w:szCs w:val="18"/>
          <w:lang w:val="it-IT"/>
        </w:rPr>
        <w:t>, mentre quelle dei Trasporti e del Affissione sono stabili.</w:t>
      </w:r>
    </w:p>
    <w:p w14:paraId="65379426" w14:textId="77777777" w:rsidR="00E918C6" w:rsidRDefault="00E918C6" w:rsidP="00E264EB">
      <w:pPr>
        <w:spacing w:before="120"/>
        <w:ind w:left="1134"/>
        <w:jc w:val="both"/>
        <w:rPr>
          <w:rFonts w:ascii="Arial" w:eastAsia="Arial" w:hAnsi="Arial" w:cs="Arial"/>
          <w:iCs/>
          <w:color w:val="000000" w:themeColor="text1"/>
          <w:sz w:val="18"/>
          <w:szCs w:val="18"/>
          <w:lang w:val="it-IT"/>
        </w:rPr>
      </w:pPr>
    </w:p>
    <w:p w14:paraId="20DDE26C" w14:textId="77777777" w:rsidR="00E918C6" w:rsidRDefault="00E918C6" w:rsidP="00E264EB">
      <w:pPr>
        <w:spacing w:before="120"/>
        <w:ind w:left="1134"/>
        <w:jc w:val="both"/>
        <w:rPr>
          <w:rFonts w:ascii="Arial" w:eastAsia="Arial" w:hAnsi="Arial" w:cs="Arial"/>
          <w:iCs/>
          <w:color w:val="000000" w:themeColor="text1"/>
          <w:sz w:val="18"/>
          <w:szCs w:val="18"/>
          <w:lang w:val="it-IT"/>
        </w:rPr>
      </w:pPr>
    </w:p>
    <w:p w14:paraId="7D89FE06" w14:textId="77777777" w:rsidR="00E918C6" w:rsidRDefault="00E918C6" w:rsidP="00E264EB">
      <w:pPr>
        <w:spacing w:before="120"/>
        <w:ind w:left="1134"/>
        <w:jc w:val="both"/>
        <w:rPr>
          <w:rFonts w:ascii="Arial" w:eastAsia="Arial" w:hAnsi="Arial" w:cs="Arial"/>
          <w:iCs/>
          <w:color w:val="000000" w:themeColor="text1"/>
          <w:sz w:val="18"/>
          <w:szCs w:val="18"/>
          <w:lang w:val="it-IT"/>
        </w:rPr>
      </w:pPr>
    </w:p>
    <w:p w14:paraId="7102962D" w14:textId="77777777" w:rsidR="00E918C6" w:rsidRDefault="00E918C6" w:rsidP="00E264EB">
      <w:pPr>
        <w:spacing w:before="120"/>
        <w:ind w:left="1134"/>
        <w:jc w:val="both"/>
        <w:rPr>
          <w:rFonts w:ascii="Arial" w:eastAsia="Arial" w:hAnsi="Arial" w:cs="Arial"/>
          <w:iCs/>
          <w:color w:val="000000" w:themeColor="text1"/>
          <w:sz w:val="18"/>
          <w:szCs w:val="18"/>
          <w:lang w:val="it-IT"/>
        </w:rPr>
      </w:pPr>
    </w:p>
    <w:p w14:paraId="6C19EC9F" w14:textId="77777777" w:rsidR="00E918C6" w:rsidRPr="00AD6945" w:rsidRDefault="00E918C6" w:rsidP="00E264EB">
      <w:pPr>
        <w:spacing w:before="120"/>
        <w:ind w:left="1134"/>
        <w:jc w:val="both"/>
        <w:rPr>
          <w:rFonts w:ascii="Arial" w:eastAsia="Times New Roman" w:hAnsi="Arial" w:cs="Arial"/>
          <w:iCs/>
          <w:sz w:val="18"/>
          <w:szCs w:val="18"/>
          <w:lang w:val="it-IT"/>
        </w:rPr>
      </w:pPr>
    </w:p>
    <w:p w14:paraId="44050D0C" w14:textId="12BF6679" w:rsidR="00E264EB" w:rsidRPr="00AD6945" w:rsidRDefault="00837CB3" w:rsidP="00E264EB">
      <w:pPr>
        <w:pBdr>
          <w:top w:val="single" w:sz="4" w:space="0" w:color="auto"/>
          <w:left w:val="single" w:sz="4" w:space="1" w:color="auto"/>
          <w:bottom w:val="single" w:sz="4" w:space="1" w:color="auto"/>
          <w:right w:val="single" w:sz="4" w:space="4" w:color="auto"/>
        </w:pBdr>
        <w:ind w:left="1134"/>
        <w:jc w:val="center"/>
        <w:rPr>
          <w:rFonts w:ascii="Arial" w:eastAsia="Arial" w:hAnsi="Arial" w:cs="Arial"/>
          <w:color w:val="000000" w:themeColor="text1"/>
          <w:sz w:val="18"/>
          <w:szCs w:val="18"/>
          <w:lang w:val="it-IT"/>
        </w:rPr>
      </w:pPr>
      <w:bookmarkStart w:id="4" w:name="_Hlk78304642"/>
      <w:bookmarkEnd w:id="4"/>
      <w:r w:rsidRPr="00AD6945">
        <w:rPr>
          <w:rFonts w:ascii="Arial" w:eastAsia="Arial" w:hAnsi="Arial" w:cs="Arial"/>
          <w:b/>
          <w:bCs/>
          <w:color w:val="000000" w:themeColor="text1"/>
          <w:sz w:val="18"/>
          <w:szCs w:val="18"/>
          <w:lang w:val="it-IT"/>
        </w:rPr>
        <w:t>Prossim</w:t>
      </w:r>
      <w:r w:rsidR="00B8334E">
        <w:rPr>
          <w:rFonts w:ascii="Arial" w:eastAsia="Arial" w:hAnsi="Arial" w:cs="Arial"/>
          <w:b/>
          <w:bCs/>
          <w:color w:val="000000" w:themeColor="text1"/>
          <w:sz w:val="18"/>
          <w:szCs w:val="18"/>
          <w:lang w:val="it-IT"/>
        </w:rPr>
        <w:t>e informazioni</w:t>
      </w:r>
      <w:r w:rsidR="00E264EB" w:rsidRPr="00AD6945">
        <w:rPr>
          <w:rFonts w:ascii="Arial" w:eastAsia="Arial" w:hAnsi="Arial" w:cs="Arial"/>
          <w:b/>
          <w:bCs/>
          <w:color w:val="000000" w:themeColor="text1"/>
          <w:sz w:val="18"/>
          <w:szCs w:val="18"/>
          <w:lang w:val="it-IT"/>
        </w:rPr>
        <w:t>:</w:t>
      </w:r>
    </w:p>
    <w:p w14:paraId="10D260C6" w14:textId="600453E6" w:rsidR="00E264EB" w:rsidRPr="00AD6945" w:rsidRDefault="00D10AE3" w:rsidP="00E264EB">
      <w:pPr>
        <w:pBdr>
          <w:top w:val="single" w:sz="4" w:space="0" w:color="auto"/>
          <w:left w:val="single" w:sz="4" w:space="1" w:color="auto"/>
          <w:bottom w:val="single" w:sz="4" w:space="1" w:color="auto"/>
          <w:right w:val="single" w:sz="4" w:space="4" w:color="auto"/>
        </w:pBdr>
        <w:ind w:left="1134"/>
        <w:jc w:val="center"/>
        <w:rPr>
          <w:rFonts w:ascii="Arial" w:eastAsia="Arial" w:hAnsi="Arial" w:cs="Arial"/>
          <w:color w:val="000000" w:themeColor="text1"/>
          <w:sz w:val="18"/>
          <w:szCs w:val="18"/>
          <w:lang w:val="it-IT"/>
        </w:rPr>
      </w:pPr>
      <w:r w:rsidRPr="00AD6945">
        <w:rPr>
          <w:rFonts w:ascii="Arial" w:eastAsia="Arial" w:hAnsi="Arial" w:cs="Arial"/>
          <w:color w:val="000000" w:themeColor="text1"/>
          <w:sz w:val="18"/>
          <w:szCs w:val="18"/>
          <w:lang w:val="it-IT"/>
        </w:rPr>
        <w:t xml:space="preserve">Assemblea generale </w:t>
      </w:r>
      <w:r w:rsidR="00E264EB" w:rsidRPr="00AD6945">
        <w:rPr>
          <w:rFonts w:ascii="Arial" w:eastAsia="Arial" w:hAnsi="Arial" w:cs="Arial"/>
          <w:color w:val="000000" w:themeColor="text1"/>
          <w:sz w:val="18"/>
          <w:szCs w:val="18"/>
          <w:lang w:val="it-IT"/>
        </w:rPr>
        <w:t>annuale degli azionisti: 14 maggio 2025</w:t>
      </w:r>
    </w:p>
    <w:p w14:paraId="71D7567B" w14:textId="77777777" w:rsidR="00E264EB" w:rsidRPr="00AD6945" w:rsidRDefault="00E264EB" w:rsidP="00E264EB">
      <w:pPr>
        <w:pBdr>
          <w:top w:val="single" w:sz="4" w:space="0" w:color="auto"/>
          <w:left w:val="single" w:sz="4" w:space="1" w:color="auto"/>
          <w:bottom w:val="single" w:sz="4" w:space="1" w:color="auto"/>
          <w:right w:val="single" w:sz="4" w:space="4" w:color="auto"/>
        </w:pBdr>
        <w:ind w:left="1134"/>
        <w:jc w:val="center"/>
        <w:rPr>
          <w:rFonts w:ascii="Arial" w:eastAsia="Arial" w:hAnsi="Arial" w:cs="Arial"/>
          <w:color w:val="000000" w:themeColor="text1"/>
          <w:sz w:val="18"/>
          <w:szCs w:val="18"/>
          <w:lang w:val="it-IT"/>
        </w:rPr>
      </w:pPr>
      <w:r w:rsidRPr="00AD6945">
        <w:rPr>
          <w:rFonts w:ascii="Arial" w:eastAsia="Arial" w:hAnsi="Arial" w:cs="Arial"/>
          <w:color w:val="000000" w:themeColor="text1"/>
          <w:sz w:val="18"/>
          <w:szCs w:val="18"/>
          <w:lang w:val="it-IT"/>
        </w:rPr>
        <w:t>Risultati semestrali 2025: 31 luglio 2025 (prima dell'apertura del mercato)</w:t>
      </w:r>
    </w:p>
    <w:p w14:paraId="6D1DA29E" w14:textId="77777777" w:rsidR="00E264EB" w:rsidRPr="00AD6945" w:rsidRDefault="00E264EB" w:rsidP="00E264EB">
      <w:pPr>
        <w:ind w:left="1134"/>
        <w:jc w:val="both"/>
        <w:rPr>
          <w:rFonts w:ascii="Arial" w:hAnsi="Arial"/>
          <w:sz w:val="18"/>
          <w:szCs w:val="19"/>
          <w:lang w:val="it-IT"/>
        </w:rPr>
      </w:pPr>
    </w:p>
    <w:p w14:paraId="61C99532" w14:textId="77777777" w:rsidR="007948F6" w:rsidRPr="00AD6945" w:rsidRDefault="007948F6" w:rsidP="007948F6">
      <w:pPr>
        <w:rPr>
          <w:rFonts w:ascii="Arial" w:eastAsia="Calibri" w:hAnsi="Arial" w:cs="Arial"/>
          <w:i/>
          <w:iCs/>
          <w:sz w:val="16"/>
          <w:szCs w:val="16"/>
          <w:highlight w:val="yellow"/>
          <w:lang w:val="it-IT"/>
        </w:rPr>
      </w:pPr>
    </w:p>
    <w:p w14:paraId="05EE7CA5" w14:textId="77777777" w:rsidR="00D472E1" w:rsidRPr="00E55842" w:rsidRDefault="00D472E1" w:rsidP="00D472E1">
      <w:pPr>
        <w:ind w:left="425" w:firstLine="709"/>
        <w:jc w:val="both"/>
        <w:rPr>
          <w:rFonts w:ascii="Arial" w:eastAsia="Arial" w:hAnsi="Arial" w:cs="Arial"/>
          <w:b/>
          <w:sz w:val="20"/>
          <w:lang w:val="fr-FR" w:bidi="fr-FR"/>
        </w:rPr>
      </w:pPr>
      <w:r w:rsidRPr="00E55842">
        <w:rPr>
          <w:rFonts w:ascii="Arial" w:eastAsia="Arial" w:hAnsi="Arial" w:cs="Arial"/>
          <w:b/>
          <w:sz w:val="20"/>
          <w:lang w:val="fr-FR" w:bidi="fr-FR"/>
        </w:rPr>
        <w:t xml:space="preserve">Le </w:t>
      </w:r>
      <w:proofErr w:type="spellStart"/>
      <w:r w:rsidRPr="00E55842">
        <w:rPr>
          <w:rFonts w:ascii="Arial" w:eastAsia="Arial" w:hAnsi="Arial" w:cs="Arial"/>
          <w:b/>
          <w:sz w:val="20"/>
          <w:lang w:val="fr-FR" w:bidi="fr-FR"/>
        </w:rPr>
        <w:t>cifre</w:t>
      </w:r>
      <w:proofErr w:type="spellEnd"/>
      <w:r w:rsidRPr="00E55842">
        <w:rPr>
          <w:rFonts w:ascii="Arial" w:eastAsia="Arial" w:hAnsi="Arial" w:cs="Arial"/>
          <w:b/>
          <w:sz w:val="20"/>
          <w:lang w:val="fr-FR" w:bidi="fr-FR"/>
        </w:rPr>
        <w:t xml:space="preserve"> </w:t>
      </w:r>
      <w:proofErr w:type="spellStart"/>
      <w:r w:rsidRPr="00E55842">
        <w:rPr>
          <w:rFonts w:ascii="Arial" w:eastAsia="Arial" w:hAnsi="Arial" w:cs="Arial"/>
          <w:b/>
          <w:sz w:val="20"/>
          <w:lang w:val="fr-FR" w:bidi="fr-FR"/>
        </w:rPr>
        <w:t>chiave</w:t>
      </w:r>
      <w:proofErr w:type="spellEnd"/>
      <w:r w:rsidRPr="00E55842">
        <w:rPr>
          <w:rFonts w:ascii="Arial" w:eastAsia="Arial" w:hAnsi="Arial" w:cs="Arial"/>
          <w:b/>
          <w:sz w:val="20"/>
          <w:lang w:val="fr-FR" w:bidi="fr-FR"/>
        </w:rPr>
        <w:t xml:space="preserve"> di JCDecaux</w:t>
      </w:r>
    </w:p>
    <w:p w14:paraId="2930718D"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fr-FR" w:bidi="fr-FR"/>
        </w:rPr>
      </w:pPr>
      <w:proofErr w:type="spellStart"/>
      <w:r w:rsidRPr="008B3AEE">
        <w:rPr>
          <w:rFonts w:ascii="Arial" w:eastAsia="PMingLiU" w:hAnsi="Arial" w:cs="Arial"/>
          <w:i/>
          <w:sz w:val="20"/>
          <w:szCs w:val="20"/>
          <w:lang w:val="fr-FR" w:bidi="fr-FR"/>
        </w:rPr>
        <w:t>Fatturato</w:t>
      </w:r>
      <w:proofErr w:type="spellEnd"/>
      <w:r w:rsidRPr="008B3AEE">
        <w:rPr>
          <w:rFonts w:ascii="Arial" w:eastAsia="PMingLiU" w:hAnsi="Arial" w:cs="Arial"/>
          <w:i/>
          <w:sz w:val="20"/>
          <w:szCs w:val="20"/>
          <w:lang w:val="fr-FR" w:bidi="fr-FR"/>
        </w:rPr>
        <w:t xml:space="preserve"> </w:t>
      </w:r>
      <w:proofErr w:type="gramStart"/>
      <w:r w:rsidRPr="008B3AEE">
        <w:rPr>
          <w:rFonts w:ascii="Arial" w:eastAsia="PMingLiU" w:hAnsi="Arial" w:cs="Arial"/>
          <w:i/>
          <w:sz w:val="20"/>
          <w:szCs w:val="20"/>
          <w:lang w:val="fr-FR" w:bidi="fr-FR"/>
        </w:rPr>
        <w:t>2024:</w:t>
      </w:r>
      <w:proofErr w:type="gramEnd"/>
      <w:r w:rsidRPr="008B3AEE">
        <w:rPr>
          <w:rFonts w:ascii="Arial" w:eastAsia="PMingLiU" w:hAnsi="Arial" w:cs="Arial"/>
          <w:i/>
          <w:sz w:val="20"/>
          <w:szCs w:val="20"/>
          <w:lang w:val="fr-FR" w:bidi="fr-FR"/>
        </w:rPr>
        <w:t xml:space="preserve"> 3.935,3 </w:t>
      </w:r>
      <w:proofErr w:type="spellStart"/>
      <w:r w:rsidRPr="008B3AEE">
        <w:rPr>
          <w:rFonts w:ascii="Arial" w:eastAsia="PMingLiU" w:hAnsi="Arial" w:cs="Arial"/>
          <w:i/>
          <w:sz w:val="20"/>
          <w:szCs w:val="20"/>
          <w:lang w:val="fr-FR" w:bidi="fr-FR"/>
        </w:rPr>
        <w:t>milioni</w:t>
      </w:r>
      <w:proofErr w:type="spellEnd"/>
      <w:r w:rsidRPr="008B3AEE">
        <w:rPr>
          <w:rFonts w:ascii="Arial" w:eastAsia="PMingLiU" w:hAnsi="Arial" w:cs="Arial"/>
          <w:i/>
          <w:sz w:val="20"/>
          <w:szCs w:val="20"/>
          <w:lang w:val="fr-FR" w:bidi="fr-FR"/>
        </w:rPr>
        <w:t xml:space="preserve"> di euro</w:t>
      </w:r>
    </w:p>
    <w:p w14:paraId="4280FD1F" w14:textId="77777777"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PMingLiU" w:hAnsi="Arial" w:cs="Arial"/>
          <w:i/>
          <w:sz w:val="20"/>
          <w:lang w:val="it-IT" w:bidi="fr-FR"/>
        </w:rPr>
        <w:t>N°1 al mondo nella comunicazione esterna</w:t>
      </w:r>
    </w:p>
    <w:p w14:paraId="697B725D" w14:textId="77777777"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PMingLiU" w:hAnsi="Arial" w:cs="Arial"/>
          <w:i/>
          <w:sz w:val="20"/>
          <w:lang w:val="it-IT" w:bidi="fr-FR"/>
        </w:rPr>
        <w:t>Un’audience giornaliera di 850 milioni di persone in oltre 80 paesi</w:t>
      </w:r>
    </w:p>
    <w:p w14:paraId="3FDF4D66" w14:textId="77777777"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PMingLiU" w:hAnsi="Arial" w:cs="Arial"/>
          <w:i/>
          <w:sz w:val="20"/>
          <w:lang w:val="it-IT" w:bidi="fr-FR"/>
        </w:rPr>
        <w:t>1.091.811 facce pubblicitarie in tutto il mondo</w:t>
      </w:r>
    </w:p>
    <w:p w14:paraId="74A9264E" w14:textId="77777777" w:rsidR="00D472E1" w:rsidRPr="008B3AEE" w:rsidRDefault="00D472E1" w:rsidP="00D472E1">
      <w:pPr>
        <w:pStyle w:val="Paragrafoelenco"/>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Una presenza in 3.894 città con più di 10.000 abitanti </w:t>
      </w:r>
    </w:p>
    <w:p w14:paraId="182F7FE4"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fr-FR" w:bidi="fr-FR"/>
        </w:rPr>
      </w:pPr>
      <w:r w:rsidRPr="008B3AEE">
        <w:rPr>
          <w:rFonts w:ascii="Arial" w:eastAsia="PMingLiU" w:hAnsi="Arial" w:cs="Arial"/>
          <w:i/>
          <w:sz w:val="20"/>
          <w:szCs w:val="20"/>
          <w:lang w:val="fr-FR" w:bidi="fr-FR"/>
        </w:rPr>
        <w:t xml:space="preserve">12.026 </w:t>
      </w:r>
      <w:proofErr w:type="spellStart"/>
      <w:r w:rsidRPr="008B3AEE">
        <w:rPr>
          <w:rFonts w:ascii="Arial" w:eastAsia="PMingLiU" w:hAnsi="Arial" w:cs="Arial"/>
          <w:i/>
          <w:sz w:val="20"/>
          <w:szCs w:val="20"/>
          <w:lang w:val="fr-FR" w:bidi="fr-FR"/>
        </w:rPr>
        <w:t>dipendenti</w:t>
      </w:r>
      <w:proofErr w:type="spellEnd"/>
      <w:r w:rsidRPr="008B3AEE">
        <w:rPr>
          <w:rFonts w:ascii="Arial" w:eastAsia="PMingLiU" w:hAnsi="Arial" w:cs="Arial"/>
          <w:i/>
          <w:sz w:val="20"/>
          <w:szCs w:val="20"/>
          <w:lang w:val="fr-FR" w:bidi="fr-FR"/>
        </w:rPr>
        <w:t xml:space="preserve"> </w:t>
      </w:r>
    </w:p>
    <w:p w14:paraId="714A038D" w14:textId="77777777"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PMingLiU" w:hAnsi="Arial" w:cs="Arial"/>
          <w:i/>
          <w:sz w:val="20"/>
          <w:lang w:val="it-IT" w:bidi="fr-FR"/>
        </w:rPr>
        <w:t xml:space="preserve">JCDecaux è quotata all'Eurolist di Euronext Paris ed è inclusa negli indici Euronext 100 ed Euronext Family Business. </w:t>
      </w:r>
    </w:p>
    <w:p w14:paraId="3F771B21" w14:textId="574F7413"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Times New Roman" w:hAnsi="Arial" w:cs="Arial"/>
          <w:i/>
          <w:iCs/>
          <w:sz w:val="20"/>
          <w:lang w:val="it-IT"/>
        </w:rPr>
        <w:t>Il percorso di riduzione delle emissioni di carbonio del Gruppo JCDecaux è stato convalidato dall'SBTi e la società è entrata a far parte dell'indice Euronext Paris CAC® SBT 1.5°</w:t>
      </w:r>
    </w:p>
    <w:p w14:paraId="575891D6" w14:textId="0A2BDC36"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JCDecaux è segnalata in termini di performance extra-finanziaria nelle classifiche CDP (Lista A), MSCI (AAA) e Sustainalytics (13.1) ed è valutata Oro da EcoVadis</w:t>
      </w:r>
    </w:p>
    <w:p w14:paraId="7BDF9834" w14:textId="77777777"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PMingLiU" w:hAnsi="Arial" w:cs="Arial"/>
          <w:i/>
          <w:sz w:val="20"/>
          <w:lang w:val="it-IT" w:bidi="fr-FR"/>
        </w:rPr>
        <w:t>1</w:t>
      </w:r>
      <w:r w:rsidRPr="008B3AEE">
        <w:rPr>
          <w:rFonts w:ascii="Arial" w:eastAsia="PMingLiU" w:hAnsi="Arial" w:cs="Arial"/>
          <w:i/>
          <w:sz w:val="20"/>
          <w:vertAlign w:val="superscript"/>
          <w:lang w:val="it-IT" w:bidi="fr-FR"/>
        </w:rPr>
        <w:t xml:space="preserve">a </w:t>
      </w:r>
      <w:r w:rsidRPr="008B3AEE">
        <w:rPr>
          <w:rFonts w:ascii="Arial" w:eastAsia="PMingLiU" w:hAnsi="Arial" w:cs="Arial"/>
          <w:i/>
          <w:sz w:val="20"/>
          <w:lang w:val="it-IT" w:bidi="fr-FR"/>
        </w:rPr>
        <w:t xml:space="preserve">azienda di pubblicità esterna che entra a far parte di RE100 </w:t>
      </w:r>
    </w:p>
    <w:p w14:paraId="4BDEFE72" w14:textId="77777777" w:rsidR="00D472E1" w:rsidRPr="008B3AEE" w:rsidRDefault="00D472E1" w:rsidP="00D472E1">
      <w:pPr>
        <w:numPr>
          <w:ilvl w:val="0"/>
          <w:numId w:val="21"/>
        </w:numPr>
        <w:spacing w:line="256" w:lineRule="auto"/>
        <w:ind w:left="1560"/>
        <w:contextualSpacing/>
        <w:jc w:val="both"/>
        <w:rPr>
          <w:rFonts w:ascii="Arial" w:eastAsia="PMingLiU" w:hAnsi="Arial" w:cs="Arial"/>
          <w:i/>
          <w:sz w:val="20"/>
          <w:lang w:val="it-IT" w:bidi="fr-FR"/>
        </w:rPr>
      </w:pPr>
      <w:r w:rsidRPr="008B3AEE">
        <w:rPr>
          <w:rFonts w:ascii="Arial" w:eastAsia="PMingLiU" w:hAnsi="Arial" w:cs="Arial"/>
          <w:i/>
          <w:sz w:val="20"/>
          <w:lang w:val="it-IT" w:bidi="fr-FR"/>
        </w:rPr>
        <w:t>Leader nel noleggio di biciclette self-service: un pioniere della mobilità leggera</w:t>
      </w:r>
    </w:p>
    <w:p w14:paraId="44D4497C"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 1 al mondo nell'arredo urbano (629.737 facce pubblicitarie) </w:t>
      </w:r>
    </w:p>
    <w:p w14:paraId="1F13ED5F" w14:textId="6BE4606B"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N°1 a livello mondiale nella pubblicità sui trasporti con 157 aeroporti e 257 contratti di trasporto in metropolitane, autobus, treni e tram (340.848 </w:t>
      </w:r>
      <w:r w:rsidR="00103778" w:rsidRPr="008B3AEE">
        <w:rPr>
          <w:rFonts w:ascii="Arial" w:eastAsia="PMingLiU" w:hAnsi="Arial" w:cs="Arial"/>
          <w:i/>
          <w:sz w:val="20"/>
          <w:szCs w:val="20"/>
          <w:lang w:val="it-IT" w:bidi="fr-FR"/>
        </w:rPr>
        <w:t xml:space="preserve">facce </w:t>
      </w:r>
      <w:r w:rsidRPr="008B3AEE">
        <w:rPr>
          <w:rFonts w:ascii="Arial" w:eastAsia="PMingLiU" w:hAnsi="Arial" w:cs="Arial"/>
          <w:i/>
          <w:sz w:val="20"/>
          <w:szCs w:val="20"/>
          <w:lang w:val="it-IT" w:bidi="fr-FR"/>
        </w:rPr>
        <w:t xml:space="preserve">pubblicitari) </w:t>
      </w:r>
    </w:p>
    <w:p w14:paraId="5A860863" w14:textId="5B4619F5"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 1 in Europa per i cartelloni pubblicitari di grande formato (83.472 </w:t>
      </w:r>
      <w:r w:rsidR="00103778" w:rsidRPr="008B3AEE">
        <w:rPr>
          <w:rFonts w:ascii="Arial" w:eastAsia="PMingLiU" w:hAnsi="Arial" w:cs="Arial"/>
          <w:i/>
          <w:sz w:val="20"/>
          <w:szCs w:val="20"/>
          <w:lang w:val="it-IT" w:bidi="fr-FR"/>
        </w:rPr>
        <w:t xml:space="preserve">facce </w:t>
      </w:r>
      <w:r w:rsidRPr="008B3AEE">
        <w:rPr>
          <w:rFonts w:ascii="Arial" w:eastAsia="PMingLiU" w:hAnsi="Arial" w:cs="Arial"/>
          <w:i/>
          <w:sz w:val="20"/>
          <w:szCs w:val="20"/>
          <w:lang w:val="it-IT" w:bidi="fr-FR"/>
        </w:rPr>
        <w:t xml:space="preserve">pubblicitari) </w:t>
      </w:r>
    </w:p>
    <w:p w14:paraId="62FCA49D"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N°1 nella comunicazione esterna in Europa (736.310 facce pubblicitarie) </w:t>
      </w:r>
    </w:p>
    <w:p w14:paraId="11441565"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N°1 nella comunicazione esterna in Asia-Pacifico (178.010 facce pubblicitarie) </w:t>
      </w:r>
    </w:p>
    <w:p w14:paraId="7BF58EEB"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 1 nella comunicazione esterna in America Latina (89.526 facce pubblicitarie) </w:t>
      </w:r>
    </w:p>
    <w:p w14:paraId="1678B54D"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N°1 nella comunicazione esterna in Africa (22.490 facce pubblicitarie) </w:t>
      </w:r>
    </w:p>
    <w:p w14:paraId="2FCFFC0D" w14:textId="77777777" w:rsidR="00D472E1" w:rsidRPr="008B3AEE" w:rsidRDefault="00D472E1" w:rsidP="00D472E1">
      <w:pPr>
        <w:pStyle w:val="Paragrafoelenco"/>
        <w:numPr>
          <w:ilvl w:val="0"/>
          <w:numId w:val="21"/>
        </w:numPr>
        <w:tabs>
          <w:tab w:val="clear" w:pos="99"/>
        </w:tabs>
        <w:ind w:left="1560"/>
        <w:jc w:val="both"/>
        <w:rPr>
          <w:rFonts w:ascii="Arial" w:eastAsia="PMingLiU" w:hAnsi="Arial" w:cs="Arial"/>
          <w:i/>
          <w:sz w:val="20"/>
          <w:szCs w:val="20"/>
          <w:lang w:val="it-IT" w:bidi="fr-FR"/>
        </w:rPr>
      </w:pPr>
      <w:r w:rsidRPr="008B3AEE">
        <w:rPr>
          <w:rFonts w:ascii="Arial" w:eastAsia="PMingLiU" w:hAnsi="Arial" w:cs="Arial"/>
          <w:i/>
          <w:sz w:val="20"/>
          <w:szCs w:val="20"/>
          <w:lang w:val="it-IT" w:bidi="fr-FR"/>
        </w:rPr>
        <w:t xml:space="preserve">N°1 nella comunicazione esterna in Medio Oriente (20.689 facce pubblicitarie) </w:t>
      </w:r>
    </w:p>
    <w:p w14:paraId="59055796" w14:textId="77777777" w:rsidR="00D472E1" w:rsidRPr="00F83D6D" w:rsidRDefault="00D472E1" w:rsidP="00D472E1">
      <w:pPr>
        <w:jc w:val="both"/>
        <w:rPr>
          <w:rFonts w:ascii="Arial" w:eastAsia="Calibri" w:hAnsi="Arial" w:cs="Arial"/>
          <w:i/>
          <w:iCs/>
          <w:sz w:val="16"/>
          <w:szCs w:val="16"/>
          <w:lang w:val="it-IT"/>
        </w:rPr>
      </w:pPr>
    </w:p>
    <w:p w14:paraId="3CFDFFAB" w14:textId="77777777" w:rsidR="00D472E1" w:rsidRPr="00F83D6D" w:rsidRDefault="00D472E1" w:rsidP="00D472E1">
      <w:pPr>
        <w:ind w:left="1134"/>
        <w:jc w:val="both"/>
        <w:rPr>
          <w:rFonts w:ascii="Arial" w:eastAsia="Times New Roman" w:hAnsi="Arial" w:cs="Arial"/>
          <w:sz w:val="20"/>
          <w:lang w:val="it-IT"/>
        </w:rPr>
      </w:pPr>
    </w:p>
    <w:p w14:paraId="7746055B" w14:textId="77777777" w:rsidR="00D472E1" w:rsidRPr="00F83D6D" w:rsidRDefault="00D472E1" w:rsidP="00D472E1">
      <w:pPr>
        <w:ind w:left="1134"/>
        <w:jc w:val="both"/>
        <w:rPr>
          <w:rFonts w:ascii="Arial" w:hAnsi="Arial" w:cs="Arial"/>
          <w:sz w:val="20"/>
          <w:lang w:val="it-IT"/>
        </w:rPr>
      </w:pPr>
      <w:r w:rsidRPr="00F83D6D">
        <w:rPr>
          <w:rFonts w:ascii="Arial" w:hAnsi="Arial" w:cs="Arial"/>
          <w:sz w:val="20"/>
          <w:lang w:val="it-IT"/>
        </w:rPr>
        <w:t xml:space="preserve">Per maggiori informazioni: </w:t>
      </w:r>
      <w:hyperlink r:id="rId13" w:history="1">
        <w:r w:rsidRPr="00F83D6D">
          <w:rPr>
            <w:rStyle w:val="Collegamentoipertestuale"/>
            <w:rFonts w:ascii="Arial" w:hAnsi="Arial" w:cs="Arial"/>
            <w:sz w:val="20"/>
            <w:lang w:val="it-IT"/>
          </w:rPr>
          <w:t>www.jcdecaux.com</w:t>
        </w:r>
      </w:hyperlink>
    </w:p>
    <w:p w14:paraId="544863C7" w14:textId="77777777" w:rsidR="00D472E1" w:rsidRPr="008B3AEE" w:rsidRDefault="00D472E1" w:rsidP="00D472E1">
      <w:pPr>
        <w:ind w:left="425" w:firstLine="709"/>
        <w:jc w:val="both"/>
        <w:rPr>
          <w:rStyle w:val="Collegamentoipertestuale"/>
          <w:rFonts w:ascii="Arial" w:hAnsi="Arial" w:cs="Arial"/>
          <w:sz w:val="20"/>
          <w:lang w:val="it-IT"/>
        </w:rPr>
      </w:pPr>
      <w:proofErr w:type="spellStart"/>
      <w:r w:rsidRPr="008B3AEE">
        <w:rPr>
          <w:rFonts w:ascii="Arial" w:hAnsi="Arial" w:cs="Arial"/>
          <w:sz w:val="20"/>
          <w:lang w:val="it-IT"/>
        </w:rPr>
        <w:t>Seguitecu</w:t>
      </w:r>
      <w:proofErr w:type="spellEnd"/>
      <w:r w:rsidRPr="008B3AEE">
        <w:rPr>
          <w:rFonts w:ascii="Arial" w:hAnsi="Arial" w:cs="Arial"/>
          <w:sz w:val="20"/>
          <w:lang w:val="it-IT"/>
        </w:rPr>
        <w:t xml:space="preserve"> su </w:t>
      </w:r>
      <w:hyperlink r:id="rId14" w:history="1">
        <w:r w:rsidRPr="008B3AEE">
          <w:rPr>
            <w:rStyle w:val="Collegamentoipertestuale"/>
            <w:rFonts w:ascii="Arial" w:hAnsi="Arial" w:cs="Arial"/>
            <w:sz w:val="20"/>
            <w:lang w:val="it-IT"/>
          </w:rPr>
          <w:t>X</w:t>
        </w:r>
      </w:hyperlink>
      <w:r w:rsidRPr="008B3AEE">
        <w:rPr>
          <w:rFonts w:ascii="Arial" w:hAnsi="Arial" w:cs="Arial"/>
          <w:sz w:val="20"/>
          <w:lang w:val="it-IT"/>
        </w:rPr>
        <w:t xml:space="preserve">, </w:t>
      </w:r>
      <w:hyperlink r:id="rId15" w:history="1">
        <w:r w:rsidRPr="008B3AEE">
          <w:rPr>
            <w:rStyle w:val="Collegamentoipertestuale"/>
            <w:rFonts w:ascii="Arial" w:hAnsi="Arial" w:cs="Arial"/>
            <w:sz w:val="20"/>
            <w:lang w:val="it-IT"/>
          </w:rPr>
          <w:t>LinkedIn</w:t>
        </w:r>
      </w:hyperlink>
      <w:r w:rsidRPr="008B3AEE">
        <w:rPr>
          <w:rFonts w:ascii="Arial" w:hAnsi="Arial" w:cs="Arial"/>
          <w:sz w:val="20"/>
          <w:lang w:val="it-IT"/>
        </w:rPr>
        <w:t xml:space="preserve">, </w:t>
      </w:r>
      <w:hyperlink r:id="rId16" w:history="1">
        <w:r w:rsidRPr="008B3AEE">
          <w:rPr>
            <w:rStyle w:val="Collegamentoipertestuale"/>
            <w:rFonts w:ascii="Arial" w:hAnsi="Arial" w:cs="Arial"/>
            <w:sz w:val="20"/>
            <w:lang w:val="it-IT"/>
          </w:rPr>
          <w:t>Facebook</w:t>
        </w:r>
      </w:hyperlink>
      <w:r w:rsidRPr="008B3AEE">
        <w:rPr>
          <w:rFonts w:ascii="Arial" w:hAnsi="Arial" w:cs="Arial"/>
          <w:sz w:val="20"/>
          <w:lang w:val="it-IT"/>
        </w:rPr>
        <w:t xml:space="preserve">, </w:t>
      </w:r>
      <w:hyperlink r:id="rId17" w:history="1">
        <w:r w:rsidRPr="008B3AEE">
          <w:rPr>
            <w:rStyle w:val="Collegamentoipertestuale"/>
            <w:rFonts w:ascii="Arial" w:hAnsi="Arial" w:cs="Arial"/>
            <w:sz w:val="20"/>
            <w:lang w:val="it-IT"/>
          </w:rPr>
          <w:t xml:space="preserve">Instagram </w:t>
        </w:r>
      </w:hyperlink>
      <w:r w:rsidRPr="008B3AEE">
        <w:rPr>
          <w:rFonts w:ascii="Arial" w:hAnsi="Arial" w:cs="Arial"/>
          <w:sz w:val="20"/>
          <w:lang w:val="it-IT"/>
        </w:rPr>
        <w:t xml:space="preserve">e </w:t>
      </w:r>
      <w:hyperlink r:id="rId18" w:history="1">
        <w:r w:rsidRPr="008B3AEE">
          <w:rPr>
            <w:rStyle w:val="Collegamentoipertestuale"/>
            <w:rFonts w:ascii="Arial" w:hAnsi="Arial" w:cs="Arial"/>
            <w:sz w:val="20"/>
            <w:lang w:val="it-IT"/>
          </w:rPr>
          <w:t>YouTube</w:t>
        </w:r>
      </w:hyperlink>
    </w:p>
    <w:p w14:paraId="1D83A4D8" w14:textId="77777777" w:rsidR="00662A46" w:rsidRDefault="00662A46" w:rsidP="00D472E1">
      <w:pPr>
        <w:jc w:val="both"/>
        <w:rPr>
          <w:rFonts w:ascii="Arial" w:eastAsia="PMingLiU" w:hAnsi="Arial" w:cs="Arial"/>
          <w:i/>
          <w:sz w:val="18"/>
          <w:szCs w:val="18"/>
          <w:lang w:eastAsia="fr-FR" w:bidi="fr-FR"/>
        </w:rPr>
      </w:pPr>
    </w:p>
    <w:p w14:paraId="684C9887" w14:textId="77777777" w:rsidR="007948F6" w:rsidRPr="00AF5A4D" w:rsidRDefault="007948F6" w:rsidP="007948F6">
      <w:pPr>
        <w:jc w:val="both"/>
        <w:rPr>
          <w:rFonts w:ascii="Arial" w:eastAsia="Times New Roman" w:hAnsi="Arial" w:cs="Arial"/>
          <w:sz w:val="20"/>
          <w:lang w:val="it-IT"/>
        </w:rPr>
      </w:pPr>
    </w:p>
    <w:p w14:paraId="752F1624" w14:textId="77777777" w:rsidR="0067778C" w:rsidRPr="00662A46" w:rsidRDefault="0067778C" w:rsidP="0067778C">
      <w:pPr>
        <w:ind w:left="1134"/>
        <w:jc w:val="both"/>
        <w:rPr>
          <w:rFonts w:ascii="Arial" w:hAnsi="Arial" w:cs="Arial"/>
          <w:b/>
          <w:sz w:val="18"/>
          <w:szCs w:val="18"/>
          <w:lang w:val="it-IT" w:bidi="fr-FR"/>
        </w:rPr>
      </w:pPr>
      <w:r w:rsidRPr="00662A46">
        <w:rPr>
          <w:rFonts w:ascii="Arial" w:hAnsi="Arial" w:cs="Arial"/>
          <w:b/>
          <w:sz w:val="18"/>
          <w:szCs w:val="18"/>
          <w:lang w:val="it-IT" w:bidi="fr-FR"/>
        </w:rPr>
        <w:t>Dichiarazioni previsionali</w:t>
      </w:r>
    </w:p>
    <w:p w14:paraId="2A714BAE" w14:textId="77777777" w:rsidR="0067778C" w:rsidRPr="00662A46" w:rsidRDefault="0067778C" w:rsidP="0067778C">
      <w:pPr>
        <w:ind w:left="1134"/>
        <w:jc w:val="both"/>
        <w:rPr>
          <w:rFonts w:ascii="Arial" w:hAnsi="Arial" w:cs="Arial"/>
          <w:sz w:val="18"/>
          <w:szCs w:val="18"/>
          <w:lang w:val="it-IT" w:bidi="fr-FR"/>
        </w:rPr>
      </w:pPr>
      <w:r w:rsidRPr="00662A46">
        <w:rPr>
          <w:rFonts w:ascii="Arial" w:hAnsi="Arial" w:cs="Arial"/>
          <w:sz w:val="18"/>
          <w:szCs w:val="18"/>
          <w:lang w:val="it-IT" w:bidi="fr-FR"/>
        </w:rPr>
        <w:t>Il presente comunicato stampa può contenere alcune dichiarazioni previsionali. Tali dichiarazioni non costituiscono una garanzia dei risultati futuri della Società. Sebbene la Società ritenga che tali dichiarazioni si basino su ipotesi ragionevoli alla data del presente comunicato stampa, esse sono intrinsecamente soggette a rischi e incertezze che potrebbero far sì che i risultati effettivi differiscano materialmente da quelli espressi o impliciti in tali dichiarazioni.</w:t>
      </w:r>
    </w:p>
    <w:p w14:paraId="57711B91" w14:textId="77777777" w:rsidR="0067778C" w:rsidRPr="00662A46" w:rsidRDefault="0067778C" w:rsidP="0067778C">
      <w:pPr>
        <w:ind w:left="1134"/>
        <w:jc w:val="both"/>
        <w:rPr>
          <w:rFonts w:ascii="Arial" w:hAnsi="Arial" w:cs="Arial"/>
          <w:sz w:val="18"/>
          <w:szCs w:val="18"/>
          <w:lang w:val="it-IT" w:bidi="fr-FR"/>
        </w:rPr>
      </w:pPr>
      <w:r w:rsidRPr="00662A46">
        <w:rPr>
          <w:rFonts w:ascii="Arial" w:hAnsi="Arial" w:cs="Arial"/>
          <w:sz w:val="18"/>
          <w:szCs w:val="18"/>
          <w:lang w:val="it-IT" w:bidi="fr-FR"/>
        </w:rPr>
        <w:t>Tali rischi e incertezze includono, in particolare, i rischi descritti nel documento di registrazione universale depositato dalla Società presso l'Autorité des Marchés Financiers.</w:t>
      </w:r>
    </w:p>
    <w:p w14:paraId="293B5CD9" w14:textId="77777777" w:rsidR="0067778C" w:rsidRPr="00662A46" w:rsidRDefault="0067778C" w:rsidP="0067778C">
      <w:pPr>
        <w:ind w:left="1134"/>
        <w:jc w:val="both"/>
        <w:rPr>
          <w:rFonts w:ascii="Arial" w:hAnsi="Arial" w:cs="Arial"/>
          <w:sz w:val="18"/>
          <w:szCs w:val="18"/>
          <w:lang w:val="it-IT" w:bidi="fr-FR"/>
        </w:rPr>
      </w:pPr>
      <w:r w:rsidRPr="00662A46">
        <w:rPr>
          <w:rFonts w:ascii="Arial" w:hAnsi="Arial" w:cs="Arial"/>
          <w:sz w:val="18"/>
          <w:szCs w:val="18"/>
          <w:lang w:val="it-IT" w:bidi="fr-FR"/>
        </w:rPr>
        <w:t>Gli investitori e i detentori di titoli della Società possono ottenere una copia del presente documento di registrazione universale presso l'</w:t>
      </w:r>
      <w:proofErr w:type="spellStart"/>
      <w:r w:rsidRPr="00662A46">
        <w:rPr>
          <w:rFonts w:ascii="Arial" w:hAnsi="Arial" w:cs="Arial"/>
          <w:sz w:val="18"/>
          <w:szCs w:val="18"/>
          <w:lang w:val="it-IT" w:bidi="fr-FR"/>
        </w:rPr>
        <w:t>Autorité</w:t>
      </w:r>
      <w:proofErr w:type="spellEnd"/>
      <w:r w:rsidRPr="00662A46">
        <w:rPr>
          <w:rFonts w:ascii="Arial" w:hAnsi="Arial" w:cs="Arial"/>
          <w:sz w:val="18"/>
          <w:szCs w:val="18"/>
          <w:lang w:val="it-IT" w:bidi="fr-FR"/>
        </w:rPr>
        <w:t xml:space="preserve"> </w:t>
      </w:r>
      <w:proofErr w:type="spellStart"/>
      <w:r w:rsidRPr="00662A46">
        <w:rPr>
          <w:rFonts w:ascii="Arial" w:hAnsi="Arial" w:cs="Arial"/>
          <w:sz w:val="18"/>
          <w:szCs w:val="18"/>
          <w:lang w:val="it-IT" w:bidi="fr-FR"/>
        </w:rPr>
        <w:t>des</w:t>
      </w:r>
      <w:proofErr w:type="spellEnd"/>
      <w:r w:rsidRPr="00662A46">
        <w:rPr>
          <w:rFonts w:ascii="Arial" w:hAnsi="Arial" w:cs="Arial"/>
          <w:sz w:val="18"/>
          <w:szCs w:val="18"/>
          <w:lang w:val="it-IT" w:bidi="fr-FR"/>
        </w:rPr>
        <w:t xml:space="preserve"> </w:t>
      </w:r>
      <w:proofErr w:type="spellStart"/>
      <w:r w:rsidRPr="00662A46">
        <w:rPr>
          <w:rFonts w:ascii="Arial" w:hAnsi="Arial" w:cs="Arial"/>
          <w:sz w:val="18"/>
          <w:szCs w:val="18"/>
          <w:lang w:val="it-IT" w:bidi="fr-FR"/>
        </w:rPr>
        <w:t>Marchés</w:t>
      </w:r>
      <w:proofErr w:type="spellEnd"/>
      <w:r w:rsidRPr="00662A46">
        <w:rPr>
          <w:rFonts w:ascii="Arial" w:hAnsi="Arial" w:cs="Arial"/>
          <w:sz w:val="18"/>
          <w:szCs w:val="18"/>
          <w:lang w:val="it-IT" w:bidi="fr-FR"/>
        </w:rPr>
        <w:t xml:space="preserve"> </w:t>
      </w:r>
      <w:proofErr w:type="spellStart"/>
      <w:r w:rsidRPr="00662A46">
        <w:rPr>
          <w:rFonts w:ascii="Arial" w:hAnsi="Arial" w:cs="Arial"/>
          <w:sz w:val="18"/>
          <w:szCs w:val="18"/>
          <w:lang w:val="it-IT" w:bidi="fr-FR"/>
        </w:rPr>
        <w:t>Financiers</w:t>
      </w:r>
      <w:proofErr w:type="spellEnd"/>
      <w:r w:rsidRPr="00662A46">
        <w:rPr>
          <w:rFonts w:ascii="Arial" w:hAnsi="Arial" w:cs="Arial"/>
          <w:sz w:val="18"/>
          <w:szCs w:val="18"/>
          <w:lang w:val="it-IT" w:bidi="fr-FR"/>
        </w:rPr>
        <w:t xml:space="preserve"> all'indirizzo </w:t>
      </w:r>
      <w:hyperlink r:id="rId19" w:history="1">
        <w:r w:rsidRPr="00662A46">
          <w:rPr>
            <w:rStyle w:val="Collegamentoipertestuale"/>
            <w:rFonts w:ascii="Arial" w:hAnsi="Arial" w:cs="Arial"/>
            <w:sz w:val="18"/>
            <w:szCs w:val="18"/>
            <w:lang w:val="it-IT" w:bidi="fr-FR"/>
          </w:rPr>
          <w:t xml:space="preserve">www.amf-france.org </w:t>
        </w:r>
      </w:hyperlink>
      <w:r w:rsidRPr="00662A46">
        <w:rPr>
          <w:rFonts w:ascii="Arial" w:hAnsi="Arial" w:cs="Arial"/>
          <w:sz w:val="18"/>
          <w:szCs w:val="18"/>
          <w:lang w:val="it-IT" w:bidi="fr-FR"/>
        </w:rPr>
        <w:t>o direttamente presso la Società all'indirizzo www.jcdecaux.com.</w:t>
      </w:r>
    </w:p>
    <w:p w14:paraId="6565BC22" w14:textId="77777777" w:rsidR="0067778C" w:rsidRPr="00662A46" w:rsidRDefault="0067778C" w:rsidP="0067778C">
      <w:pPr>
        <w:ind w:left="1134"/>
        <w:jc w:val="both"/>
        <w:rPr>
          <w:rFonts w:ascii="Arial" w:hAnsi="Arial" w:cs="Arial"/>
          <w:sz w:val="18"/>
          <w:szCs w:val="18"/>
          <w:lang w:val="it-IT" w:bidi="fr-FR"/>
        </w:rPr>
      </w:pPr>
      <w:r w:rsidRPr="00662A46">
        <w:rPr>
          <w:rFonts w:ascii="Arial" w:hAnsi="Arial" w:cs="Arial"/>
          <w:sz w:val="18"/>
          <w:szCs w:val="18"/>
          <w:lang w:val="it-IT" w:bidi="fr-FR"/>
        </w:rPr>
        <w:t>La Società non ha l'obbligo e non si impegna ad aggiornare o rivedere alcuna dichiarazione previsionale.</w:t>
      </w:r>
    </w:p>
    <w:p w14:paraId="0AEF5340" w14:textId="77777777" w:rsidR="0067778C" w:rsidRPr="00662A46" w:rsidRDefault="0067778C" w:rsidP="0067778C">
      <w:pPr>
        <w:ind w:left="425" w:firstLine="709"/>
        <w:jc w:val="both"/>
        <w:rPr>
          <w:rFonts w:ascii="Arial" w:hAnsi="Arial" w:cs="Arial"/>
          <w:sz w:val="20"/>
          <w:lang w:val="it-IT"/>
        </w:rPr>
      </w:pPr>
    </w:p>
    <w:p w14:paraId="1A596B22" w14:textId="77777777" w:rsidR="0067778C" w:rsidRPr="00662A46" w:rsidRDefault="0067778C" w:rsidP="0067778C">
      <w:pPr>
        <w:ind w:left="1134"/>
        <w:jc w:val="both"/>
        <w:rPr>
          <w:rFonts w:ascii="Arial" w:hAnsi="Arial" w:cs="Arial"/>
          <w:sz w:val="16"/>
          <w:szCs w:val="16"/>
          <w:lang w:val="it-IT"/>
        </w:rPr>
      </w:pPr>
    </w:p>
    <w:p w14:paraId="736FC99F" w14:textId="77777777" w:rsidR="0067778C" w:rsidRPr="00662A46" w:rsidRDefault="0067778C" w:rsidP="0067778C">
      <w:pPr>
        <w:ind w:left="1134"/>
        <w:jc w:val="both"/>
        <w:rPr>
          <w:rFonts w:ascii="Arial" w:eastAsia="PMingLiU" w:hAnsi="Arial" w:cs="Arial"/>
          <w:sz w:val="20"/>
          <w:lang w:val="it-IT" w:eastAsia="fr-FR" w:bidi="fr-FR"/>
        </w:rPr>
      </w:pPr>
      <w:r w:rsidRPr="00662A46">
        <w:rPr>
          <w:rFonts w:ascii="Arial" w:eastAsia="PMingLiU" w:hAnsi="Arial" w:cs="Arial"/>
          <w:b/>
          <w:i/>
          <w:sz w:val="20"/>
          <w:lang w:val="it-IT" w:eastAsia="fr-FR" w:bidi="fr-FR"/>
        </w:rPr>
        <w:t>Responsabile della comunicazione</w:t>
      </w:r>
      <w:r w:rsidRPr="00662A46">
        <w:rPr>
          <w:rFonts w:ascii="Arial" w:eastAsia="PMingLiU" w:hAnsi="Arial" w:cs="Arial"/>
          <w:b/>
          <w:sz w:val="20"/>
          <w:lang w:val="it-IT" w:eastAsia="fr-FR" w:bidi="fr-FR"/>
        </w:rPr>
        <w:t xml:space="preserve">: </w:t>
      </w:r>
      <w:r w:rsidRPr="00662A46">
        <w:rPr>
          <w:rFonts w:ascii="Arial" w:eastAsia="PMingLiU" w:hAnsi="Arial" w:cs="Arial"/>
          <w:sz w:val="20"/>
          <w:lang w:val="it-IT" w:eastAsia="fr-FR" w:bidi="fr-FR"/>
        </w:rPr>
        <w:t>Albert Asséraf</w:t>
      </w:r>
    </w:p>
    <w:p w14:paraId="2296C389" w14:textId="77777777" w:rsidR="0067778C" w:rsidRPr="00662A46" w:rsidRDefault="0067778C" w:rsidP="0067778C">
      <w:pPr>
        <w:ind w:left="1134"/>
        <w:jc w:val="both"/>
        <w:rPr>
          <w:rFonts w:ascii="Arial" w:eastAsia="PMingLiU" w:hAnsi="Arial" w:cs="Arial"/>
          <w:sz w:val="20"/>
          <w:lang w:val="it-IT" w:eastAsia="fr-FR" w:bidi="fr-FR"/>
        </w:rPr>
      </w:pPr>
      <w:r w:rsidRPr="00662A46">
        <w:rPr>
          <w:rFonts w:ascii="Arial" w:eastAsia="PMingLiU" w:hAnsi="Arial" w:cs="Arial"/>
          <w:sz w:val="20"/>
          <w:lang w:val="it-IT" w:eastAsia="fr-FR" w:bidi="fr-FR"/>
        </w:rPr>
        <w:t xml:space="preserve">+33 (0) 1 30 79 79 10 - </w:t>
      </w:r>
      <w:hyperlink r:id="rId20" w:history="1">
        <w:r w:rsidRPr="00662A46">
          <w:rPr>
            <w:rStyle w:val="Collegamentoipertestuale"/>
            <w:rFonts w:ascii="Arial" w:eastAsia="PMingLiU" w:hAnsi="Arial" w:cs="Arial"/>
            <w:sz w:val="20"/>
            <w:lang w:val="it-IT" w:eastAsia="fr-FR" w:bidi="fr-FR"/>
          </w:rPr>
          <w:t>albert.asseraf@jcdecaux.com</w:t>
        </w:r>
      </w:hyperlink>
    </w:p>
    <w:p w14:paraId="0CD83278" w14:textId="77777777" w:rsidR="0067778C" w:rsidRPr="00662A46" w:rsidRDefault="0067778C" w:rsidP="0067778C">
      <w:pPr>
        <w:ind w:left="1134"/>
        <w:jc w:val="both"/>
        <w:rPr>
          <w:rFonts w:ascii="Arial" w:eastAsia="PMingLiU" w:hAnsi="Arial" w:cs="Arial"/>
          <w:b/>
          <w:i/>
          <w:sz w:val="8"/>
          <w:szCs w:val="8"/>
          <w:lang w:val="it-IT" w:eastAsia="fr-FR" w:bidi="fr-FR"/>
        </w:rPr>
      </w:pPr>
    </w:p>
    <w:p w14:paraId="5D14D4F2" w14:textId="77777777" w:rsidR="0067778C" w:rsidRPr="00662A46" w:rsidRDefault="0067778C" w:rsidP="0067778C">
      <w:pPr>
        <w:ind w:left="1134"/>
        <w:jc w:val="both"/>
        <w:rPr>
          <w:rFonts w:ascii="Arial" w:eastAsia="PMingLiU" w:hAnsi="Arial" w:cs="Arial"/>
          <w:sz w:val="20"/>
          <w:lang w:val="it-IT" w:eastAsia="fr-FR" w:bidi="fr-FR"/>
        </w:rPr>
      </w:pPr>
      <w:r w:rsidRPr="00662A46">
        <w:rPr>
          <w:rFonts w:ascii="Arial" w:eastAsia="PMingLiU" w:hAnsi="Arial" w:cs="Arial"/>
          <w:b/>
          <w:i/>
          <w:sz w:val="20"/>
          <w:lang w:val="it-IT" w:eastAsia="fr-FR" w:bidi="fr-FR"/>
        </w:rPr>
        <w:t>Relazioni con gli investitori</w:t>
      </w:r>
      <w:r w:rsidRPr="00662A46">
        <w:rPr>
          <w:rFonts w:ascii="Arial" w:eastAsia="PMingLiU" w:hAnsi="Arial" w:cs="Arial"/>
          <w:b/>
          <w:sz w:val="20"/>
          <w:lang w:val="it-IT" w:eastAsia="fr-FR" w:bidi="fr-FR"/>
        </w:rPr>
        <w:t xml:space="preserve">: </w:t>
      </w:r>
      <w:r w:rsidRPr="00662A46">
        <w:rPr>
          <w:rFonts w:ascii="Arial" w:eastAsia="PMingLiU" w:hAnsi="Arial" w:cs="Arial"/>
          <w:sz w:val="20"/>
          <w:lang w:val="it-IT" w:eastAsia="fr-FR" w:bidi="fr-FR"/>
        </w:rPr>
        <w:t>Rémi Grisard</w:t>
      </w:r>
    </w:p>
    <w:p w14:paraId="033A4054" w14:textId="77777777" w:rsidR="0067778C" w:rsidRPr="00AD6945" w:rsidRDefault="0067778C" w:rsidP="0067778C">
      <w:pPr>
        <w:ind w:left="1134"/>
        <w:jc w:val="both"/>
        <w:rPr>
          <w:rFonts w:ascii="Arial" w:eastAsia="PMingLiU" w:hAnsi="Arial" w:cs="Arial"/>
          <w:sz w:val="20"/>
          <w:lang w:val="it-IT" w:eastAsia="fr-FR" w:bidi="fr-FR"/>
        </w:rPr>
      </w:pPr>
      <w:r w:rsidRPr="00662A46">
        <w:rPr>
          <w:rFonts w:ascii="Arial" w:eastAsia="PMingLiU" w:hAnsi="Arial" w:cs="Arial"/>
          <w:sz w:val="20"/>
          <w:lang w:val="it-IT" w:eastAsia="fr-FR" w:bidi="fr-FR"/>
        </w:rPr>
        <w:t xml:space="preserve">+33 (0) 1 30 79 79 93 - </w:t>
      </w:r>
      <w:hyperlink r:id="rId21" w:history="1">
        <w:r w:rsidRPr="00662A46">
          <w:rPr>
            <w:rStyle w:val="Collegamentoipertestuale"/>
            <w:rFonts w:ascii="Arial" w:eastAsia="PMingLiU" w:hAnsi="Arial" w:cs="Arial"/>
            <w:sz w:val="20"/>
            <w:lang w:val="it-IT" w:eastAsia="fr-FR" w:bidi="fr-FR"/>
          </w:rPr>
          <w:t>remi.grisard@jcdecaux.com</w:t>
        </w:r>
      </w:hyperlink>
    </w:p>
    <w:p w14:paraId="4FA12C58" w14:textId="77777777" w:rsidR="0067778C" w:rsidRPr="00AD6945" w:rsidRDefault="0067778C" w:rsidP="007948F6">
      <w:pPr>
        <w:ind w:left="1134"/>
        <w:jc w:val="both"/>
        <w:rPr>
          <w:rFonts w:ascii="Arial" w:eastAsia="PMingLiU" w:hAnsi="Arial" w:cs="Arial"/>
          <w:sz w:val="20"/>
          <w:lang w:val="it-IT" w:eastAsia="fr-FR" w:bidi="fr-FR"/>
        </w:rPr>
      </w:pPr>
    </w:p>
    <w:p w14:paraId="5CB60651" w14:textId="77777777" w:rsidR="0063410C" w:rsidRPr="00AD6945" w:rsidRDefault="0063410C" w:rsidP="007948F6">
      <w:pPr>
        <w:ind w:left="1134"/>
        <w:jc w:val="both"/>
        <w:rPr>
          <w:rFonts w:ascii="Arial" w:eastAsia="PMingLiU" w:hAnsi="Arial" w:cs="Arial"/>
          <w:sz w:val="20"/>
          <w:lang w:val="it-IT" w:eastAsia="fr-FR" w:bidi="fr-FR"/>
        </w:rPr>
      </w:pPr>
    </w:p>
    <w:p w14:paraId="5455F03B" w14:textId="77777777" w:rsidR="0063410C" w:rsidRPr="00AD6945" w:rsidRDefault="0063410C" w:rsidP="007948F6">
      <w:pPr>
        <w:ind w:left="1134"/>
        <w:jc w:val="both"/>
        <w:rPr>
          <w:rFonts w:ascii="Arial" w:eastAsia="PMingLiU" w:hAnsi="Arial" w:cs="Arial"/>
          <w:sz w:val="20"/>
          <w:lang w:val="it-IT" w:eastAsia="fr-FR" w:bidi="fr-FR"/>
        </w:rPr>
      </w:pPr>
    </w:p>
    <w:p w14:paraId="64DF40FA" w14:textId="77777777" w:rsidR="0063410C" w:rsidRPr="00AD6945" w:rsidRDefault="0063410C" w:rsidP="007948F6">
      <w:pPr>
        <w:ind w:left="1134"/>
        <w:jc w:val="both"/>
        <w:rPr>
          <w:rFonts w:ascii="Arial" w:eastAsia="PMingLiU" w:hAnsi="Arial" w:cs="Arial"/>
          <w:sz w:val="20"/>
          <w:lang w:val="it-IT" w:eastAsia="fr-FR" w:bidi="fr-FR"/>
        </w:rPr>
      </w:pPr>
    </w:p>
    <w:p w14:paraId="3E264368" w14:textId="77777777" w:rsidR="0063410C" w:rsidRPr="00AD6945" w:rsidRDefault="0063410C" w:rsidP="007948F6">
      <w:pPr>
        <w:ind w:left="1134"/>
        <w:jc w:val="both"/>
        <w:rPr>
          <w:rFonts w:ascii="Arial" w:eastAsia="PMingLiU" w:hAnsi="Arial" w:cs="Arial"/>
          <w:sz w:val="20"/>
          <w:lang w:val="it-IT" w:eastAsia="fr-FR" w:bidi="fr-FR"/>
        </w:rPr>
      </w:pPr>
    </w:p>
    <w:p w14:paraId="33F364C4" w14:textId="77777777" w:rsidR="0063410C" w:rsidRPr="00AD6945" w:rsidRDefault="0063410C" w:rsidP="007948F6">
      <w:pPr>
        <w:ind w:left="1134"/>
        <w:jc w:val="both"/>
        <w:rPr>
          <w:rFonts w:ascii="Arial" w:eastAsia="PMingLiU" w:hAnsi="Arial" w:cs="Arial"/>
          <w:sz w:val="20"/>
          <w:lang w:val="it-IT" w:eastAsia="fr-FR" w:bidi="fr-FR"/>
        </w:rPr>
      </w:pPr>
    </w:p>
    <w:p w14:paraId="09B7FA0F" w14:textId="77777777" w:rsidR="00E20D64" w:rsidRPr="00AD6945" w:rsidRDefault="00E20D64" w:rsidP="00E20D64">
      <w:pPr>
        <w:spacing w:after="60"/>
        <w:ind w:left="1134"/>
        <w:jc w:val="center"/>
        <w:rPr>
          <w:rFonts w:ascii="Arial" w:eastAsia="Times New Roman" w:hAnsi="Arial" w:cs="Arial"/>
          <w:b/>
          <w:bCs/>
          <w:iCs/>
          <w:color w:val="163B5C"/>
          <w:sz w:val="32"/>
          <w:szCs w:val="32"/>
          <w:lang w:val="it-IT"/>
        </w:rPr>
      </w:pPr>
      <w:r w:rsidRPr="00AD6945">
        <w:rPr>
          <w:rFonts w:ascii="Arial" w:eastAsia="Times New Roman" w:hAnsi="Arial" w:cs="Arial"/>
          <w:b/>
          <w:bCs/>
          <w:iCs/>
          <w:color w:val="163B5C"/>
          <w:sz w:val="32"/>
          <w:szCs w:val="32"/>
          <w:lang w:val="it-IT"/>
        </w:rPr>
        <w:t xml:space="preserve">Appendici </w:t>
      </w:r>
    </w:p>
    <w:p w14:paraId="7200B9FC" w14:textId="77777777" w:rsidR="00E20D64" w:rsidRPr="00AD6945" w:rsidRDefault="00E20D64" w:rsidP="00E20D64">
      <w:pPr>
        <w:tabs>
          <w:tab w:val="left" w:pos="2040"/>
        </w:tabs>
        <w:spacing w:after="60"/>
        <w:ind w:left="1134"/>
        <w:jc w:val="both"/>
        <w:rPr>
          <w:rFonts w:ascii="Arial" w:hAnsi="Arial"/>
          <w:b/>
          <w:sz w:val="18"/>
          <w:szCs w:val="18"/>
          <w:u w:val="single"/>
          <w:lang w:val="it-IT"/>
        </w:rPr>
      </w:pPr>
    </w:p>
    <w:p w14:paraId="20EBDCA7" w14:textId="77777777" w:rsidR="00E20D64" w:rsidRPr="00AD6945" w:rsidRDefault="00E20D64" w:rsidP="00E20D64">
      <w:pPr>
        <w:tabs>
          <w:tab w:val="left" w:pos="2040"/>
        </w:tabs>
        <w:spacing w:after="60"/>
        <w:ind w:left="1134"/>
        <w:jc w:val="both"/>
        <w:rPr>
          <w:rFonts w:ascii="Arial" w:hAnsi="Arial"/>
          <w:b/>
          <w:sz w:val="18"/>
          <w:szCs w:val="18"/>
          <w:u w:val="single"/>
          <w:lang w:val="it-IT"/>
        </w:rPr>
      </w:pPr>
    </w:p>
    <w:p w14:paraId="137CBFEC" w14:textId="1E42A8EF" w:rsidR="00E20D64" w:rsidRPr="00AD6945" w:rsidRDefault="00092E67" w:rsidP="00E20D64">
      <w:pPr>
        <w:spacing w:after="60"/>
        <w:ind w:left="1134"/>
        <w:jc w:val="both"/>
        <w:rPr>
          <w:rFonts w:ascii="Arial" w:hAnsi="Arial"/>
          <w:b/>
          <w:color w:val="163B5C"/>
          <w:szCs w:val="24"/>
          <w:u w:val="single"/>
          <w:lang w:val="it-IT"/>
        </w:rPr>
      </w:pPr>
      <w:r w:rsidRPr="00AD6945">
        <w:rPr>
          <w:rFonts w:ascii="Arial" w:hAnsi="Arial"/>
          <w:b/>
          <w:color w:val="163B5C"/>
          <w:szCs w:val="24"/>
          <w:u w:val="single"/>
          <w:lang w:val="it-IT"/>
        </w:rPr>
        <w:t xml:space="preserve">Indicatori </w:t>
      </w:r>
      <w:r w:rsidR="005756C4" w:rsidRPr="00AD6945">
        <w:rPr>
          <w:rFonts w:ascii="Arial" w:hAnsi="Arial"/>
          <w:b/>
          <w:color w:val="163B5C"/>
          <w:szCs w:val="24"/>
          <w:u w:val="single"/>
          <w:lang w:val="it-IT"/>
        </w:rPr>
        <w:t xml:space="preserve">alternativi </w:t>
      </w:r>
      <w:r w:rsidR="00E20D64" w:rsidRPr="00AD6945">
        <w:rPr>
          <w:rFonts w:ascii="Arial" w:hAnsi="Arial"/>
          <w:b/>
          <w:color w:val="163B5C"/>
          <w:szCs w:val="24"/>
          <w:u w:val="single"/>
          <w:lang w:val="it-IT"/>
        </w:rPr>
        <w:t xml:space="preserve">di performance </w:t>
      </w:r>
    </w:p>
    <w:p w14:paraId="69326964" w14:textId="77777777" w:rsidR="000B4DC9" w:rsidRPr="00AD6945" w:rsidRDefault="000B4DC9" w:rsidP="000B4DC9">
      <w:pPr>
        <w:pStyle w:val="Corpotesto"/>
        <w:ind w:left="1134"/>
        <w:rPr>
          <w:sz w:val="18"/>
          <w:szCs w:val="18"/>
          <w:lang w:val="it-IT"/>
        </w:rPr>
      </w:pPr>
      <w:r w:rsidRPr="00AD6945">
        <w:rPr>
          <w:sz w:val="18"/>
          <w:szCs w:val="18"/>
          <w:lang w:val="it-IT"/>
        </w:rPr>
        <w:t>L'IFRS 11, applicabile dal 1° gennaio 2014, prevede che le società a controllo congiunto siano contabilizzate con il metodo del patrimonio netto.</w:t>
      </w:r>
    </w:p>
    <w:p w14:paraId="52DC784A" w14:textId="36B1348A" w:rsidR="000B4DC9" w:rsidRPr="00AD6945" w:rsidRDefault="000B4DC9" w:rsidP="00FC65D5">
      <w:pPr>
        <w:pStyle w:val="Corpotesto"/>
        <w:ind w:left="1134"/>
        <w:rPr>
          <w:sz w:val="18"/>
          <w:szCs w:val="18"/>
          <w:lang w:val="it-IT"/>
        </w:rPr>
      </w:pPr>
      <w:r w:rsidRPr="00AD6945">
        <w:rPr>
          <w:sz w:val="18"/>
          <w:szCs w:val="18"/>
          <w:lang w:val="it-IT"/>
        </w:rPr>
        <w:t>Tuttavia, al fine di riflettere la realtà operativa del Gruppo e garantire una facile comprensione delle nostre prestazioni, i dati operativi del reporting sulla gestione operativa del Gruppo, utilizzati dal management per monitorare l'attività, allocare le risorse e misurare le prestazioni, continuano a includere i dati operativi delle società a controllo congiunto su base proporzionale</w:t>
      </w:r>
    </w:p>
    <w:p w14:paraId="14C54DC7" w14:textId="77777777" w:rsidR="00FA74BC" w:rsidRPr="00AD6945" w:rsidRDefault="00FA74BC" w:rsidP="00FA74BC">
      <w:pPr>
        <w:pStyle w:val="Corpotesto"/>
        <w:ind w:left="1134"/>
        <w:rPr>
          <w:sz w:val="18"/>
          <w:szCs w:val="18"/>
          <w:lang w:val="it-IT"/>
        </w:rPr>
      </w:pPr>
      <w:r w:rsidRPr="00AD6945">
        <w:rPr>
          <w:sz w:val="18"/>
          <w:szCs w:val="18"/>
          <w:lang w:val="it-IT"/>
        </w:rPr>
        <w:t>Di conseguenza, in conformità all'IFRS 8, l'informativa di settore inclusa nel bilancio è in linea con queste informazioni interne e la comunicazione finanziaria esterna del Gruppo si basa quindi su queste informazioni finanziarie operative. Le informazioni e i commenti finanziari si basano quindi su questi indicatori alternativi di performance, che sono comparabili con i dati storici e sono sistematicamente riconciliati con i bilanci IFRS.</w:t>
      </w:r>
    </w:p>
    <w:p w14:paraId="46FF96FD" w14:textId="12D6A2DD" w:rsidR="00E20D64" w:rsidRPr="00AD6945" w:rsidRDefault="00E20D64" w:rsidP="00E20D64">
      <w:pPr>
        <w:pStyle w:val="Corpotesto"/>
        <w:ind w:left="1134"/>
        <w:rPr>
          <w:sz w:val="18"/>
          <w:szCs w:val="18"/>
          <w:lang w:val="it-IT"/>
        </w:rPr>
      </w:pPr>
    </w:p>
    <w:p w14:paraId="56504425" w14:textId="77777777" w:rsidR="00E20D64" w:rsidRPr="00AD6945" w:rsidRDefault="00E20D64" w:rsidP="00E20D64">
      <w:pPr>
        <w:pStyle w:val="Corpotesto"/>
        <w:ind w:left="1134"/>
        <w:rPr>
          <w:sz w:val="18"/>
          <w:szCs w:val="18"/>
          <w:lang w:val="it-IT"/>
        </w:rPr>
      </w:pPr>
    </w:p>
    <w:p w14:paraId="60533048" w14:textId="3926CDE7" w:rsidR="00E20D64" w:rsidRPr="00AD6945" w:rsidRDefault="00E20D64" w:rsidP="00E20D64">
      <w:pPr>
        <w:pStyle w:val="Corpotesto"/>
        <w:ind w:left="1134"/>
        <w:rPr>
          <w:sz w:val="18"/>
          <w:szCs w:val="18"/>
          <w:lang w:val="it-IT"/>
        </w:rPr>
      </w:pPr>
      <w:r w:rsidRPr="00AD6945">
        <w:rPr>
          <w:sz w:val="18"/>
          <w:szCs w:val="18"/>
          <w:lang w:val="it-IT"/>
        </w:rPr>
        <w:t>Nel 1° trimestre 2025, l'impatto dell'IFRS 11 sul</w:t>
      </w:r>
      <w:r w:rsidR="00662A46">
        <w:rPr>
          <w:sz w:val="18"/>
          <w:szCs w:val="18"/>
          <w:lang w:val="it-IT"/>
        </w:rPr>
        <w:t xml:space="preserve"> nostro fatturato</w:t>
      </w:r>
      <w:r w:rsidRPr="00AD6945">
        <w:rPr>
          <w:sz w:val="18"/>
          <w:szCs w:val="18"/>
          <w:lang w:val="it-IT"/>
        </w:rPr>
        <w:t>, come defini</w:t>
      </w:r>
      <w:r w:rsidR="00662A46">
        <w:rPr>
          <w:sz w:val="18"/>
          <w:szCs w:val="18"/>
          <w:lang w:val="it-IT"/>
        </w:rPr>
        <w:t>to</w:t>
      </w:r>
      <w:r w:rsidRPr="00AD6945">
        <w:rPr>
          <w:sz w:val="18"/>
          <w:szCs w:val="18"/>
          <w:lang w:val="it-IT"/>
        </w:rPr>
        <w:t xml:space="preserve"> nello </w:t>
      </w:r>
      <w:r w:rsidR="00DB2A10" w:rsidRPr="00AD6945">
        <w:rPr>
          <w:sz w:val="18"/>
          <w:szCs w:val="18"/>
          <w:lang w:val="it-IT"/>
        </w:rPr>
        <w:t>IAP</w:t>
      </w:r>
      <w:r w:rsidRPr="00AD6945">
        <w:rPr>
          <w:sz w:val="18"/>
          <w:szCs w:val="18"/>
          <w:lang w:val="it-IT"/>
        </w:rPr>
        <w:t xml:space="preserve">, è stato di </w:t>
      </w:r>
      <w:r w:rsidR="00F841B2">
        <w:rPr>
          <w:sz w:val="18"/>
          <w:szCs w:val="18"/>
          <w:lang w:val="it-IT"/>
        </w:rPr>
        <w:br/>
      </w:r>
      <w:r w:rsidRPr="00AD6945">
        <w:rPr>
          <w:sz w:val="18"/>
          <w:szCs w:val="18"/>
          <w:lang w:val="it-IT"/>
        </w:rPr>
        <w:t xml:space="preserve">-60,3 milioni di euro (-61,2 milioni di euro nel 1° trimestre 2024), </w:t>
      </w:r>
      <w:r w:rsidR="00171BA3" w:rsidRPr="00AD6945">
        <w:rPr>
          <w:sz w:val="18"/>
          <w:szCs w:val="18"/>
          <w:lang w:val="it-IT"/>
        </w:rPr>
        <w:t>per un</w:t>
      </w:r>
      <w:r w:rsidRPr="00AD6945">
        <w:rPr>
          <w:sz w:val="18"/>
          <w:szCs w:val="18"/>
          <w:lang w:val="it-IT"/>
        </w:rPr>
        <w:t xml:space="preserve"> fatturato IFRS di 797,7 milioni di euro (740,4 milioni di euro nel 1° trimestre 2024).</w:t>
      </w:r>
    </w:p>
    <w:p w14:paraId="7270291F" w14:textId="77777777" w:rsidR="00E20D64" w:rsidRPr="00AD6945" w:rsidRDefault="00E20D64" w:rsidP="00E20D64">
      <w:pPr>
        <w:ind w:left="993"/>
        <w:jc w:val="both"/>
        <w:rPr>
          <w:rFonts w:ascii="Arial" w:hAnsi="Arial"/>
          <w:sz w:val="18"/>
          <w:szCs w:val="19"/>
          <w:lang w:val="it-IT"/>
        </w:rPr>
      </w:pPr>
    </w:p>
    <w:p w14:paraId="53E68AD6" w14:textId="77777777" w:rsidR="00E20D64" w:rsidRPr="00AD6945" w:rsidRDefault="00E20D64" w:rsidP="00E20D64">
      <w:pPr>
        <w:ind w:left="993"/>
        <w:jc w:val="both"/>
        <w:rPr>
          <w:rFonts w:ascii="Arial" w:hAnsi="Arial"/>
          <w:sz w:val="18"/>
          <w:szCs w:val="19"/>
          <w:lang w:val="it-IT"/>
        </w:rPr>
      </w:pPr>
    </w:p>
    <w:p w14:paraId="4E692841" w14:textId="77777777" w:rsidR="00E20D64" w:rsidRPr="00AD6945" w:rsidRDefault="00E20D64" w:rsidP="00E20D64">
      <w:pPr>
        <w:ind w:left="993"/>
        <w:jc w:val="both"/>
        <w:rPr>
          <w:rFonts w:ascii="Arial" w:hAnsi="Arial"/>
          <w:sz w:val="18"/>
          <w:szCs w:val="19"/>
          <w:lang w:val="it-IT"/>
        </w:rPr>
      </w:pPr>
    </w:p>
    <w:p w14:paraId="333A30C3" w14:textId="77777777" w:rsidR="00E20D64" w:rsidRPr="00AD6945" w:rsidRDefault="00E20D64" w:rsidP="00E20D64">
      <w:pPr>
        <w:ind w:left="993"/>
        <w:jc w:val="both"/>
        <w:rPr>
          <w:rFonts w:ascii="Arial" w:hAnsi="Arial"/>
          <w:sz w:val="18"/>
          <w:szCs w:val="19"/>
          <w:lang w:val="it-IT"/>
        </w:rPr>
      </w:pPr>
    </w:p>
    <w:p w14:paraId="5A6D78F0" w14:textId="77777777" w:rsidR="00E20D64" w:rsidRPr="00AD6945" w:rsidRDefault="00E20D64" w:rsidP="00E20D64">
      <w:pPr>
        <w:ind w:left="993"/>
        <w:jc w:val="both"/>
        <w:rPr>
          <w:rFonts w:ascii="Arial" w:hAnsi="Arial"/>
          <w:sz w:val="18"/>
          <w:szCs w:val="19"/>
          <w:lang w:val="it-IT"/>
        </w:rPr>
      </w:pPr>
    </w:p>
    <w:p w14:paraId="2D50EEB9" w14:textId="236DEFE2" w:rsidR="00C33A80" w:rsidRPr="00C33A80" w:rsidRDefault="00C33A80" w:rsidP="00C33A80">
      <w:pPr>
        <w:pStyle w:val="Corpotesto"/>
        <w:spacing w:after="60"/>
        <w:ind w:left="1134"/>
        <w:rPr>
          <w:rFonts w:cs="Arial"/>
          <w:b/>
          <w:bCs/>
          <w:sz w:val="18"/>
          <w:szCs w:val="18"/>
          <w:u w:val="single"/>
          <w:lang w:val="fr-FR"/>
        </w:rPr>
      </w:pPr>
      <w:r w:rsidRPr="00C33A80">
        <w:rPr>
          <w:rFonts w:cs="Arial"/>
          <w:b/>
          <w:bCs/>
          <w:color w:val="163B5C"/>
          <w:szCs w:val="24"/>
          <w:u w:val="single"/>
          <w:lang w:val="fr-FR"/>
        </w:rPr>
        <w:t xml:space="preserve">Note </w:t>
      </w:r>
      <w:proofErr w:type="spellStart"/>
      <w:r w:rsidRPr="00C33A80">
        <w:rPr>
          <w:rFonts w:cs="Arial"/>
          <w:b/>
          <w:bCs/>
          <w:color w:val="163B5C"/>
          <w:szCs w:val="24"/>
          <w:u w:val="single"/>
          <w:lang w:val="fr-FR"/>
        </w:rPr>
        <w:t>sull</w:t>
      </w:r>
      <w:r w:rsidR="00662A46">
        <w:rPr>
          <w:rFonts w:cs="Arial"/>
          <w:b/>
          <w:bCs/>
          <w:color w:val="163B5C"/>
          <w:szCs w:val="24"/>
          <w:u w:val="single"/>
          <w:lang w:val="fr-FR"/>
        </w:rPr>
        <w:t>e</w:t>
      </w:r>
      <w:proofErr w:type="spellEnd"/>
      <w:r w:rsidRPr="00C33A80">
        <w:rPr>
          <w:rFonts w:cs="Arial"/>
          <w:b/>
          <w:bCs/>
          <w:color w:val="163B5C"/>
          <w:szCs w:val="24"/>
          <w:u w:val="single"/>
          <w:lang w:val="fr-FR"/>
        </w:rPr>
        <w:t xml:space="preserve"> </w:t>
      </w:r>
      <w:proofErr w:type="spellStart"/>
      <w:r w:rsidRPr="00C33A80">
        <w:rPr>
          <w:rFonts w:cs="Arial"/>
          <w:b/>
          <w:bCs/>
          <w:color w:val="163B5C"/>
          <w:szCs w:val="24"/>
          <w:u w:val="single"/>
          <w:lang w:val="fr-FR"/>
        </w:rPr>
        <w:t>definizion</w:t>
      </w:r>
      <w:r w:rsidR="00662A46">
        <w:rPr>
          <w:rFonts w:cs="Arial"/>
          <w:b/>
          <w:bCs/>
          <w:color w:val="163B5C"/>
          <w:szCs w:val="24"/>
          <w:u w:val="single"/>
          <w:lang w:val="fr-FR"/>
        </w:rPr>
        <w:t>i</w:t>
      </w:r>
      <w:proofErr w:type="spellEnd"/>
    </w:p>
    <w:p w14:paraId="1E1F6D82" w14:textId="565EB016" w:rsidR="00C33A80" w:rsidRPr="00AD6945" w:rsidRDefault="00421324" w:rsidP="00DB4AD2">
      <w:pPr>
        <w:pStyle w:val="Paragrafoelenco"/>
        <w:numPr>
          <w:ilvl w:val="0"/>
          <w:numId w:val="35"/>
        </w:numPr>
        <w:jc w:val="both"/>
        <w:rPr>
          <w:rFonts w:ascii="Arial" w:hAnsi="Arial" w:cs="Arial"/>
          <w:bCs/>
          <w:sz w:val="16"/>
          <w:szCs w:val="16"/>
          <w:lang w:val="it-IT"/>
        </w:rPr>
      </w:pPr>
      <w:r>
        <w:rPr>
          <w:rFonts w:ascii="Arial" w:hAnsi="Arial" w:cs="Arial"/>
          <w:b/>
          <w:sz w:val="16"/>
          <w:szCs w:val="16"/>
          <w:lang w:val="it-IT"/>
        </w:rPr>
        <w:t>Fatturato</w:t>
      </w:r>
      <w:r w:rsidR="00C33A80" w:rsidRPr="00AD6945">
        <w:rPr>
          <w:rFonts w:ascii="Arial" w:hAnsi="Arial" w:cs="Arial"/>
          <w:bCs/>
          <w:sz w:val="16"/>
          <w:szCs w:val="16"/>
          <w:lang w:val="it-IT"/>
        </w:rPr>
        <w:t>: comprende</w:t>
      </w:r>
      <w:r>
        <w:rPr>
          <w:rFonts w:ascii="Arial" w:hAnsi="Arial" w:cs="Arial"/>
          <w:bCs/>
          <w:sz w:val="16"/>
          <w:szCs w:val="16"/>
          <w:lang w:val="it-IT"/>
        </w:rPr>
        <w:t xml:space="preserve"> il fatturato </w:t>
      </w:r>
      <w:r w:rsidR="00C33A80" w:rsidRPr="00AD6945">
        <w:rPr>
          <w:rFonts w:ascii="Arial" w:hAnsi="Arial" w:cs="Arial"/>
          <w:bCs/>
          <w:sz w:val="16"/>
          <w:szCs w:val="16"/>
          <w:lang w:val="it-IT"/>
        </w:rPr>
        <w:t>delle società a controllo congiunto su base proporzionale.</w:t>
      </w:r>
    </w:p>
    <w:p w14:paraId="68E0D297" w14:textId="5E8E261A" w:rsidR="00C33A80" w:rsidRPr="00AD6945" w:rsidRDefault="00C33A80" w:rsidP="00DB4AD2">
      <w:pPr>
        <w:pStyle w:val="Paragrafoelenco"/>
        <w:numPr>
          <w:ilvl w:val="0"/>
          <w:numId w:val="35"/>
        </w:numPr>
        <w:jc w:val="both"/>
        <w:rPr>
          <w:rFonts w:ascii="Arial" w:hAnsi="Arial" w:cs="Arial"/>
          <w:bCs/>
          <w:sz w:val="16"/>
          <w:szCs w:val="16"/>
          <w:lang w:val="it-IT"/>
        </w:rPr>
      </w:pPr>
      <w:r w:rsidRPr="00AD6945">
        <w:rPr>
          <w:rFonts w:ascii="Arial" w:hAnsi="Arial" w:cs="Arial"/>
          <w:b/>
          <w:bCs/>
          <w:sz w:val="16"/>
          <w:szCs w:val="16"/>
          <w:lang w:val="it-IT"/>
        </w:rPr>
        <w:t xml:space="preserve">Crescita organica: </w:t>
      </w:r>
      <w:r w:rsidRPr="00AD6945">
        <w:rPr>
          <w:rFonts w:ascii="Arial" w:hAnsi="Arial" w:cs="Arial"/>
          <w:sz w:val="16"/>
          <w:szCs w:val="16"/>
          <w:lang w:val="it-IT"/>
        </w:rPr>
        <w:t>la crescita organica del Gruppo corrisponde alla crescita del</w:t>
      </w:r>
      <w:r w:rsidR="00421324">
        <w:rPr>
          <w:rFonts w:ascii="Arial" w:hAnsi="Arial" w:cs="Arial"/>
          <w:sz w:val="16"/>
          <w:szCs w:val="16"/>
          <w:lang w:val="it-IT"/>
        </w:rPr>
        <w:t xml:space="preserve"> fatturato</w:t>
      </w:r>
      <w:r w:rsidRPr="00AD6945">
        <w:rPr>
          <w:rFonts w:ascii="Arial" w:hAnsi="Arial" w:cs="Arial"/>
          <w:sz w:val="16"/>
          <w:szCs w:val="16"/>
          <w:lang w:val="it-IT"/>
        </w:rPr>
        <w:t xml:space="preserve"> escludendo gli effetti dei tassi di cambio e delle variazioni nella struttura del Gruppo. L'anno di riferimento rimane invariato rispetto ai dati pubblicati e la crescita organica viene calcolata applicando i tassi di cambio medi dell'anno precedente al</w:t>
      </w:r>
      <w:r w:rsidR="00421324">
        <w:rPr>
          <w:rFonts w:ascii="Arial" w:hAnsi="Arial" w:cs="Arial"/>
          <w:sz w:val="16"/>
          <w:szCs w:val="16"/>
          <w:lang w:val="it-IT"/>
        </w:rPr>
        <w:t xml:space="preserve"> fatturato</w:t>
      </w:r>
      <w:r w:rsidRPr="00AD6945">
        <w:rPr>
          <w:rFonts w:ascii="Arial" w:hAnsi="Arial" w:cs="Arial"/>
          <w:sz w:val="16"/>
          <w:szCs w:val="16"/>
          <w:lang w:val="it-IT"/>
        </w:rPr>
        <w:t xml:space="preserve"> dell'anno in corso e tenendo conto delle variazioni dell'area di consolidamento </w:t>
      </w:r>
      <w:r w:rsidRPr="00AD6945">
        <w:rPr>
          <w:rFonts w:ascii="Arial" w:hAnsi="Arial" w:cs="Arial"/>
          <w:i/>
          <w:iCs/>
          <w:sz w:val="16"/>
          <w:szCs w:val="16"/>
          <w:lang w:val="it-IT"/>
        </w:rPr>
        <w:t>su base pro rata temporis</w:t>
      </w:r>
      <w:r w:rsidRPr="00AD6945">
        <w:rPr>
          <w:rFonts w:ascii="Arial" w:hAnsi="Arial" w:cs="Arial"/>
          <w:sz w:val="16"/>
          <w:szCs w:val="16"/>
          <w:lang w:val="it-IT"/>
        </w:rPr>
        <w:t>, ma includendo le variazioni del</w:t>
      </w:r>
      <w:r w:rsidR="00421324">
        <w:rPr>
          <w:rFonts w:ascii="Arial" w:hAnsi="Arial" w:cs="Arial"/>
          <w:sz w:val="16"/>
          <w:szCs w:val="16"/>
          <w:lang w:val="it-IT"/>
        </w:rPr>
        <w:t xml:space="preserve"> fatturato</w:t>
      </w:r>
      <w:r w:rsidRPr="00AD6945">
        <w:rPr>
          <w:rFonts w:ascii="Arial" w:hAnsi="Arial" w:cs="Arial"/>
          <w:sz w:val="16"/>
          <w:szCs w:val="16"/>
          <w:lang w:val="it-IT"/>
        </w:rPr>
        <w:t xml:space="preserve"> derivanti dall'acquisizione di nuovi contratti e dalla perdita di contratti precedentemente in portafoglio. </w:t>
      </w:r>
    </w:p>
    <w:p w14:paraId="2749C7AD" w14:textId="77777777" w:rsidR="00E20D64" w:rsidRPr="00AD6945" w:rsidRDefault="00E20D64" w:rsidP="00FC65D5">
      <w:pPr>
        <w:pStyle w:val="Corpotesto"/>
        <w:spacing w:after="60"/>
        <w:ind w:left="1134"/>
        <w:rPr>
          <w:rFonts w:eastAsia="Arial" w:cs="Arial"/>
          <w:color w:val="000000" w:themeColor="text1"/>
          <w:szCs w:val="24"/>
          <w:lang w:val="it-IT"/>
        </w:rPr>
      </w:pPr>
    </w:p>
    <w:p w14:paraId="547E1223" w14:textId="77777777" w:rsidR="00E20D64" w:rsidRPr="00AD6945" w:rsidRDefault="00E20D64" w:rsidP="00E20D64">
      <w:pPr>
        <w:ind w:left="1134"/>
        <w:rPr>
          <w:rFonts w:ascii="Arial" w:eastAsia="Arial" w:hAnsi="Arial" w:cs="Arial"/>
          <w:color w:val="000000" w:themeColor="text1"/>
          <w:szCs w:val="24"/>
          <w:lang w:val="it-IT"/>
        </w:rPr>
      </w:pPr>
    </w:p>
    <w:p w14:paraId="038A9DD6" w14:textId="77777777" w:rsidR="00E20D64" w:rsidRPr="00AD6945" w:rsidRDefault="00E20D64" w:rsidP="00E20D64">
      <w:pPr>
        <w:ind w:left="1134"/>
        <w:rPr>
          <w:rFonts w:ascii="Arial" w:eastAsia="Arial" w:hAnsi="Arial" w:cs="Arial"/>
          <w:color w:val="000000" w:themeColor="text1"/>
          <w:szCs w:val="24"/>
          <w:lang w:val="it-IT"/>
        </w:rPr>
      </w:pPr>
    </w:p>
    <w:p w14:paraId="7F5829E8" w14:textId="77777777" w:rsidR="00D10AE3" w:rsidRPr="00AD6945" w:rsidRDefault="00D10AE3" w:rsidP="00E20D64">
      <w:pPr>
        <w:ind w:left="1134"/>
        <w:rPr>
          <w:rFonts w:ascii="Arial" w:eastAsia="Arial" w:hAnsi="Arial" w:cs="Arial"/>
          <w:color w:val="000000" w:themeColor="text1"/>
          <w:szCs w:val="24"/>
          <w:lang w:val="it-IT"/>
        </w:rPr>
      </w:pPr>
    </w:p>
    <w:p w14:paraId="4C8738CF" w14:textId="77777777" w:rsidR="00D10AE3" w:rsidRPr="00AD6945" w:rsidRDefault="00D10AE3" w:rsidP="00E20D64">
      <w:pPr>
        <w:ind w:left="1134"/>
        <w:rPr>
          <w:rFonts w:ascii="Arial" w:eastAsia="Arial" w:hAnsi="Arial" w:cs="Arial"/>
          <w:color w:val="000000" w:themeColor="text1"/>
          <w:szCs w:val="24"/>
          <w:lang w:val="it-IT"/>
        </w:rPr>
      </w:pPr>
    </w:p>
    <w:p w14:paraId="20321682" w14:textId="77777777" w:rsidR="00D10AE3" w:rsidRPr="00AD6945" w:rsidRDefault="00D10AE3" w:rsidP="00E20D64">
      <w:pPr>
        <w:ind w:left="1134"/>
        <w:rPr>
          <w:rFonts w:ascii="Arial" w:eastAsia="Arial" w:hAnsi="Arial" w:cs="Arial"/>
          <w:color w:val="000000" w:themeColor="text1"/>
          <w:szCs w:val="24"/>
          <w:lang w:val="it-IT"/>
        </w:rPr>
      </w:pPr>
    </w:p>
    <w:p w14:paraId="547A15C5" w14:textId="77777777" w:rsidR="00D10AE3" w:rsidRPr="00AD6945" w:rsidRDefault="00D10AE3" w:rsidP="00E20D64">
      <w:pPr>
        <w:ind w:left="1134"/>
        <w:rPr>
          <w:rFonts w:ascii="Arial" w:eastAsia="Arial" w:hAnsi="Arial" w:cs="Arial"/>
          <w:color w:val="000000" w:themeColor="text1"/>
          <w:szCs w:val="24"/>
          <w:lang w:val="it-IT"/>
        </w:rPr>
      </w:pPr>
    </w:p>
    <w:p w14:paraId="2CB319DC" w14:textId="77777777" w:rsidR="00D10AE3" w:rsidRPr="00AD6945" w:rsidRDefault="00D10AE3" w:rsidP="00E20D64">
      <w:pPr>
        <w:ind w:left="1134"/>
        <w:rPr>
          <w:rFonts w:ascii="Arial" w:eastAsia="Arial" w:hAnsi="Arial" w:cs="Arial"/>
          <w:color w:val="000000" w:themeColor="text1"/>
          <w:szCs w:val="24"/>
          <w:lang w:val="it-IT"/>
        </w:rPr>
      </w:pPr>
    </w:p>
    <w:p w14:paraId="64E02CD6" w14:textId="77777777" w:rsidR="00D10AE3" w:rsidRPr="00AD6945" w:rsidRDefault="00D10AE3" w:rsidP="00E20D64">
      <w:pPr>
        <w:ind w:left="1134"/>
        <w:rPr>
          <w:rFonts w:ascii="Arial" w:eastAsia="Arial" w:hAnsi="Arial" w:cs="Arial"/>
          <w:color w:val="000000" w:themeColor="text1"/>
          <w:szCs w:val="24"/>
          <w:lang w:val="it-IT"/>
        </w:rPr>
      </w:pPr>
    </w:p>
    <w:p w14:paraId="338D7EB1" w14:textId="77777777" w:rsidR="00D10AE3" w:rsidRPr="00AD6945" w:rsidRDefault="00D10AE3" w:rsidP="00E20D64">
      <w:pPr>
        <w:ind w:left="1134"/>
        <w:rPr>
          <w:rFonts w:ascii="Arial" w:eastAsia="Arial" w:hAnsi="Arial" w:cs="Arial"/>
          <w:color w:val="000000" w:themeColor="text1"/>
          <w:szCs w:val="24"/>
          <w:lang w:val="it-IT"/>
        </w:rPr>
      </w:pPr>
    </w:p>
    <w:p w14:paraId="6F78394C" w14:textId="77777777" w:rsidR="00D10AE3" w:rsidRPr="00AD6945" w:rsidRDefault="00D10AE3" w:rsidP="00E20D64">
      <w:pPr>
        <w:ind w:left="1134"/>
        <w:rPr>
          <w:rFonts w:ascii="Arial" w:eastAsia="Arial" w:hAnsi="Arial" w:cs="Arial"/>
          <w:color w:val="000000" w:themeColor="text1"/>
          <w:szCs w:val="24"/>
          <w:lang w:val="it-IT"/>
        </w:rPr>
      </w:pPr>
    </w:p>
    <w:p w14:paraId="0298E64E" w14:textId="77777777" w:rsidR="00D10AE3" w:rsidRPr="00AD6945" w:rsidRDefault="00D10AE3" w:rsidP="00E20D64">
      <w:pPr>
        <w:ind w:left="1134"/>
        <w:rPr>
          <w:rFonts w:ascii="Arial" w:eastAsia="Arial" w:hAnsi="Arial" w:cs="Arial"/>
          <w:color w:val="000000" w:themeColor="text1"/>
          <w:szCs w:val="24"/>
          <w:lang w:val="it-IT"/>
        </w:rPr>
      </w:pPr>
    </w:p>
    <w:p w14:paraId="13DCB9FF" w14:textId="77777777" w:rsidR="00D10AE3" w:rsidRPr="00AD6945" w:rsidRDefault="00D10AE3" w:rsidP="00E20D64">
      <w:pPr>
        <w:ind w:left="1134"/>
        <w:rPr>
          <w:rFonts w:ascii="Arial" w:eastAsia="Arial" w:hAnsi="Arial" w:cs="Arial"/>
          <w:color w:val="000000" w:themeColor="text1"/>
          <w:szCs w:val="24"/>
          <w:lang w:val="it-IT"/>
        </w:rPr>
      </w:pPr>
    </w:p>
    <w:p w14:paraId="4F08A402" w14:textId="77777777" w:rsidR="00D10AE3" w:rsidRPr="00AD6945" w:rsidRDefault="00D10AE3" w:rsidP="00E20D64">
      <w:pPr>
        <w:ind w:left="1134"/>
        <w:rPr>
          <w:rFonts w:ascii="Arial" w:eastAsia="Arial" w:hAnsi="Arial" w:cs="Arial"/>
          <w:color w:val="000000" w:themeColor="text1"/>
          <w:szCs w:val="24"/>
          <w:lang w:val="it-IT"/>
        </w:rPr>
      </w:pPr>
    </w:p>
    <w:p w14:paraId="240FF27C" w14:textId="77777777" w:rsidR="00D10AE3" w:rsidRPr="00AD6945" w:rsidRDefault="00D10AE3" w:rsidP="00E20D64">
      <w:pPr>
        <w:ind w:left="1134"/>
        <w:rPr>
          <w:rFonts w:ascii="Arial" w:eastAsia="Arial" w:hAnsi="Arial" w:cs="Arial"/>
          <w:color w:val="000000" w:themeColor="text1"/>
          <w:szCs w:val="24"/>
          <w:lang w:val="it-IT"/>
        </w:rPr>
      </w:pPr>
    </w:p>
    <w:p w14:paraId="77D5DB67" w14:textId="77777777" w:rsidR="00E20D64" w:rsidRPr="00AD6945" w:rsidRDefault="00E20D64" w:rsidP="00E20D64">
      <w:pPr>
        <w:ind w:left="1134"/>
        <w:rPr>
          <w:rFonts w:ascii="Arial" w:eastAsia="Arial" w:hAnsi="Arial" w:cs="Arial"/>
          <w:color w:val="000000" w:themeColor="text1"/>
          <w:szCs w:val="24"/>
          <w:lang w:val="it-IT"/>
        </w:rPr>
      </w:pPr>
    </w:p>
    <w:p w14:paraId="624EF541" w14:textId="77777777" w:rsidR="00E20D64" w:rsidRPr="00AD6945" w:rsidRDefault="00E20D64" w:rsidP="00E20D64">
      <w:pPr>
        <w:ind w:left="1134"/>
        <w:rPr>
          <w:rFonts w:ascii="Arial" w:eastAsia="Arial" w:hAnsi="Arial" w:cs="Arial"/>
          <w:color w:val="000000" w:themeColor="text1"/>
          <w:szCs w:val="24"/>
          <w:lang w:val="it-IT"/>
        </w:rPr>
      </w:pPr>
    </w:p>
    <w:p w14:paraId="0A239BC1" w14:textId="77777777" w:rsidR="00E20D64" w:rsidRPr="00AD6945" w:rsidRDefault="00E20D64" w:rsidP="00E20D64">
      <w:pPr>
        <w:ind w:left="1134"/>
        <w:rPr>
          <w:rFonts w:ascii="Arial" w:eastAsia="Arial" w:hAnsi="Arial" w:cs="Arial"/>
          <w:color w:val="000000" w:themeColor="text1"/>
          <w:szCs w:val="24"/>
          <w:lang w:val="it-IT"/>
        </w:rPr>
      </w:pPr>
    </w:p>
    <w:p w14:paraId="131AE620" w14:textId="77777777" w:rsidR="00E20D64" w:rsidRPr="00AD6945" w:rsidRDefault="00E20D64" w:rsidP="00E20D64">
      <w:pPr>
        <w:ind w:left="1134"/>
        <w:rPr>
          <w:rFonts w:ascii="Arial" w:eastAsia="Arial" w:hAnsi="Arial" w:cs="Arial"/>
          <w:color w:val="000000" w:themeColor="text1"/>
          <w:szCs w:val="24"/>
          <w:lang w:val="it-IT"/>
        </w:rPr>
      </w:pPr>
    </w:p>
    <w:p w14:paraId="09FB1725" w14:textId="77777777" w:rsidR="00E20D64" w:rsidRPr="00AD6945" w:rsidRDefault="00E20D64" w:rsidP="00E20D64">
      <w:pPr>
        <w:ind w:left="1134"/>
        <w:rPr>
          <w:rFonts w:ascii="Arial" w:eastAsia="Arial" w:hAnsi="Arial" w:cs="Arial"/>
          <w:color w:val="000000" w:themeColor="text1"/>
          <w:szCs w:val="24"/>
          <w:lang w:val="it-IT"/>
        </w:rPr>
      </w:pPr>
    </w:p>
    <w:p w14:paraId="00B39ECB" w14:textId="77777777" w:rsidR="00E20D64" w:rsidRPr="00AD6945" w:rsidRDefault="00E20D64" w:rsidP="00E20D64">
      <w:pPr>
        <w:ind w:left="1134"/>
        <w:rPr>
          <w:rFonts w:ascii="Arial" w:eastAsia="Arial" w:hAnsi="Arial" w:cs="Arial"/>
          <w:color w:val="000000" w:themeColor="text1"/>
          <w:szCs w:val="24"/>
          <w:lang w:val="it-IT"/>
        </w:rPr>
      </w:pPr>
    </w:p>
    <w:p w14:paraId="05DF75A4" w14:textId="77777777" w:rsidR="00E20D64" w:rsidRPr="00AD6945" w:rsidRDefault="00E20D64" w:rsidP="00E20D64">
      <w:pPr>
        <w:ind w:left="1134"/>
        <w:rPr>
          <w:rFonts w:ascii="Arial" w:eastAsia="Arial" w:hAnsi="Arial" w:cs="Arial"/>
          <w:color w:val="000000" w:themeColor="text1"/>
          <w:szCs w:val="24"/>
          <w:lang w:val="it-IT"/>
        </w:rPr>
      </w:pPr>
    </w:p>
    <w:p w14:paraId="68B0C847" w14:textId="77777777" w:rsidR="00E20D64" w:rsidRPr="00AD6945" w:rsidRDefault="00E20D64" w:rsidP="00E20D64">
      <w:pPr>
        <w:ind w:left="1134"/>
        <w:rPr>
          <w:rFonts w:ascii="Arial" w:eastAsia="Arial" w:hAnsi="Arial" w:cs="Arial"/>
          <w:color w:val="000000" w:themeColor="text1"/>
          <w:szCs w:val="24"/>
          <w:lang w:val="it-IT"/>
        </w:rPr>
      </w:pPr>
    </w:p>
    <w:p w14:paraId="61003DDD" w14:textId="36B3849B" w:rsidR="00E20D64" w:rsidRPr="00FC65D5" w:rsidRDefault="00E20D64" w:rsidP="00E20D64">
      <w:pPr>
        <w:spacing w:after="60"/>
        <w:ind w:left="1134"/>
        <w:jc w:val="both"/>
        <w:rPr>
          <w:rFonts w:ascii="Arial" w:hAnsi="Arial"/>
          <w:b/>
          <w:color w:val="163B5C"/>
          <w:szCs w:val="24"/>
          <w:u w:val="single"/>
          <w:lang w:val="fr-FR"/>
        </w:rPr>
      </w:pPr>
      <w:proofErr w:type="spellStart"/>
      <w:r w:rsidRPr="00FC65D5">
        <w:rPr>
          <w:rFonts w:ascii="Arial" w:hAnsi="Arial"/>
          <w:b/>
          <w:color w:val="163B5C"/>
          <w:szCs w:val="24"/>
          <w:u w:val="single"/>
          <w:lang w:val="fr-FR"/>
        </w:rPr>
        <w:t>Crescita</w:t>
      </w:r>
      <w:proofErr w:type="spellEnd"/>
      <w:r w:rsidRPr="00FC65D5">
        <w:rPr>
          <w:rFonts w:ascii="Arial" w:hAnsi="Arial"/>
          <w:b/>
          <w:color w:val="163B5C"/>
          <w:szCs w:val="24"/>
          <w:u w:val="single"/>
          <w:lang w:val="fr-FR"/>
        </w:rPr>
        <w:t xml:space="preserve"> </w:t>
      </w:r>
      <w:proofErr w:type="spellStart"/>
      <w:r w:rsidRPr="00FC65D5">
        <w:rPr>
          <w:rFonts w:ascii="Arial" w:hAnsi="Arial"/>
          <w:b/>
          <w:color w:val="163B5C"/>
          <w:szCs w:val="24"/>
          <w:u w:val="single"/>
          <w:lang w:val="fr-FR"/>
        </w:rPr>
        <w:t>organica</w:t>
      </w:r>
      <w:proofErr w:type="spellEnd"/>
      <w:r w:rsidRPr="00FC65D5">
        <w:rPr>
          <w:rFonts w:ascii="Arial" w:hAnsi="Arial"/>
          <w:b/>
          <w:color w:val="163B5C"/>
          <w:szCs w:val="24"/>
          <w:u w:val="single"/>
          <w:lang w:val="fr-FR"/>
        </w:rPr>
        <w:t xml:space="preserve"> </w:t>
      </w:r>
      <w:proofErr w:type="spellStart"/>
      <w:r w:rsidRPr="00FC65D5">
        <w:rPr>
          <w:rFonts w:ascii="Arial" w:hAnsi="Arial"/>
          <w:b/>
          <w:color w:val="163B5C"/>
          <w:szCs w:val="24"/>
          <w:u w:val="single"/>
          <w:lang w:val="fr-FR"/>
        </w:rPr>
        <w:t>del</w:t>
      </w:r>
      <w:proofErr w:type="spellEnd"/>
      <w:r w:rsidR="00421324">
        <w:rPr>
          <w:rFonts w:ascii="Arial" w:hAnsi="Arial"/>
          <w:b/>
          <w:color w:val="163B5C"/>
          <w:szCs w:val="24"/>
          <w:u w:val="single"/>
          <w:lang w:val="fr-FR"/>
        </w:rPr>
        <w:t xml:space="preserve"> </w:t>
      </w:r>
      <w:proofErr w:type="spellStart"/>
      <w:r w:rsidR="00421324">
        <w:rPr>
          <w:rFonts w:ascii="Arial" w:hAnsi="Arial"/>
          <w:b/>
          <w:color w:val="163B5C"/>
          <w:szCs w:val="24"/>
          <w:u w:val="single"/>
          <w:lang w:val="fr-FR"/>
        </w:rPr>
        <w:t>fatturato</w:t>
      </w:r>
      <w:proofErr w:type="spellEnd"/>
    </w:p>
    <w:p w14:paraId="615241B7" w14:textId="77777777" w:rsidR="00E20D64" w:rsidRPr="00FC65D5" w:rsidRDefault="00E20D64" w:rsidP="00E20D64">
      <w:pPr>
        <w:ind w:left="1134"/>
        <w:jc w:val="both"/>
        <w:rPr>
          <w:rFonts w:ascii="Arial" w:eastAsia="Arial" w:hAnsi="Arial" w:cs="Arial"/>
          <w:color w:val="000000" w:themeColor="text1"/>
          <w:sz w:val="18"/>
          <w:szCs w:val="18"/>
          <w:lang w:val="fr-FR"/>
        </w:rPr>
      </w:pPr>
    </w:p>
    <w:tbl>
      <w:tblPr>
        <w:tblW w:w="0" w:type="auto"/>
        <w:tblInd w:w="11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1545"/>
        <w:gridCol w:w="1305"/>
      </w:tblGrid>
      <w:tr w:rsidR="00E20D64" w14:paraId="17032F57" w14:textId="77777777">
        <w:trPr>
          <w:trHeight w:val="30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BB0020B" w14:textId="7E579344" w:rsidR="00E20D64" w:rsidRDefault="00421324">
            <w:pPr>
              <w:jc w:val="center"/>
              <w:rPr>
                <w:rFonts w:ascii="Arial" w:eastAsia="Arial" w:hAnsi="Arial" w:cs="Arial"/>
                <w:sz w:val="18"/>
                <w:szCs w:val="18"/>
              </w:rPr>
            </w:pPr>
            <w:r>
              <w:rPr>
                <w:rFonts w:ascii="Arial" w:eastAsia="Arial" w:hAnsi="Arial" w:cs="Arial"/>
                <w:sz w:val="18"/>
                <w:szCs w:val="18"/>
              </w:rPr>
              <w:t xml:space="preserve">In </w:t>
            </w:r>
            <w:r w:rsidR="00BD3E21">
              <w:rPr>
                <w:rFonts w:ascii="Arial" w:eastAsia="Arial" w:hAnsi="Arial" w:cs="Arial"/>
                <w:sz w:val="18"/>
                <w:szCs w:val="18"/>
              </w:rPr>
              <w:t>m</w:t>
            </w:r>
            <w:r w:rsidR="00E20D64" w:rsidRPr="75B220F3">
              <w:rPr>
                <w:rFonts w:ascii="Arial" w:eastAsia="Arial" w:hAnsi="Arial" w:cs="Arial"/>
                <w:sz w:val="18"/>
                <w:szCs w:val="18"/>
              </w:rPr>
              <w:t>€</w:t>
            </w:r>
          </w:p>
        </w:tc>
        <w:tc>
          <w:tcPr>
            <w:tcW w:w="154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4B1D71" w14:textId="77777777" w:rsidR="00E20D64" w:rsidRDefault="00E20D64">
            <w:pPr>
              <w:jc w:val="center"/>
              <w:rPr>
                <w:rFonts w:ascii="Arial" w:eastAsia="Arial" w:hAnsi="Arial" w:cs="Arial"/>
                <w:sz w:val="14"/>
                <w:szCs w:val="14"/>
              </w:rPr>
            </w:pPr>
          </w:p>
        </w:tc>
        <w:tc>
          <w:tcPr>
            <w:tcW w:w="13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B5296E" w14:textId="77777777" w:rsidR="00E20D64" w:rsidRDefault="00E20D64">
            <w:pPr>
              <w:jc w:val="right"/>
              <w:rPr>
                <w:rFonts w:ascii="Arial" w:eastAsia="Arial" w:hAnsi="Arial" w:cs="Arial"/>
                <w:sz w:val="18"/>
                <w:szCs w:val="18"/>
              </w:rPr>
            </w:pPr>
            <w:r w:rsidRPr="75B220F3">
              <w:rPr>
                <w:rFonts w:ascii="Arial" w:eastAsia="Arial" w:hAnsi="Arial" w:cs="Arial"/>
                <w:b/>
                <w:bCs/>
                <w:sz w:val="18"/>
                <w:szCs w:val="18"/>
              </w:rPr>
              <w:t>T1</w:t>
            </w:r>
          </w:p>
        </w:tc>
      </w:tr>
      <w:tr w:rsidR="00E20D64" w14:paraId="389F139B" w14:textId="77777777">
        <w:trPr>
          <w:trHeight w:val="300"/>
        </w:trPr>
        <w:tc>
          <w:tcPr>
            <w:tcW w:w="2700" w:type="dxa"/>
            <w:tcBorders>
              <w:top w:val="single" w:sz="6" w:space="0" w:color="auto"/>
              <w:left w:val="nil"/>
              <w:bottom w:val="single" w:sz="6" w:space="0" w:color="auto"/>
              <w:right w:val="nil"/>
            </w:tcBorders>
            <w:tcMar>
              <w:left w:w="60" w:type="dxa"/>
              <w:right w:w="60" w:type="dxa"/>
            </w:tcMar>
            <w:vAlign w:val="center"/>
          </w:tcPr>
          <w:p w14:paraId="703BCFEE" w14:textId="77777777" w:rsidR="00E20D64" w:rsidRDefault="00E20D64">
            <w:pPr>
              <w:rPr>
                <w:rFonts w:ascii="Arial" w:eastAsia="Arial" w:hAnsi="Arial" w:cs="Arial"/>
                <w:sz w:val="12"/>
                <w:szCs w:val="12"/>
              </w:rPr>
            </w:pPr>
          </w:p>
        </w:tc>
        <w:tc>
          <w:tcPr>
            <w:tcW w:w="1545" w:type="dxa"/>
            <w:tcBorders>
              <w:top w:val="single" w:sz="6" w:space="0" w:color="auto"/>
              <w:left w:val="nil"/>
              <w:bottom w:val="single" w:sz="6" w:space="0" w:color="auto"/>
              <w:right w:val="nil"/>
            </w:tcBorders>
            <w:tcMar>
              <w:left w:w="60" w:type="dxa"/>
              <w:right w:w="60" w:type="dxa"/>
            </w:tcMar>
            <w:vAlign w:val="center"/>
          </w:tcPr>
          <w:p w14:paraId="41A4C78F" w14:textId="77777777" w:rsidR="00E20D64" w:rsidRDefault="00E20D64">
            <w:pPr>
              <w:rPr>
                <w:rFonts w:ascii="Arial" w:eastAsia="Arial" w:hAnsi="Arial" w:cs="Arial"/>
                <w:sz w:val="12"/>
                <w:szCs w:val="12"/>
              </w:rPr>
            </w:pPr>
          </w:p>
        </w:tc>
        <w:tc>
          <w:tcPr>
            <w:tcW w:w="1305" w:type="dxa"/>
            <w:tcBorders>
              <w:top w:val="single" w:sz="6" w:space="0" w:color="auto"/>
              <w:left w:val="nil"/>
              <w:bottom w:val="single" w:sz="6" w:space="0" w:color="auto"/>
              <w:right w:val="nil"/>
            </w:tcBorders>
            <w:tcMar>
              <w:left w:w="60" w:type="dxa"/>
              <w:right w:w="60" w:type="dxa"/>
            </w:tcMar>
            <w:vAlign w:val="center"/>
          </w:tcPr>
          <w:p w14:paraId="69889A94" w14:textId="77777777" w:rsidR="00E20D64" w:rsidRDefault="00E20D64">
            <w:pPr>
              <w:rPr>
                <w:rFonts w:ascii="Arial" w:eastAsia="Arial" w:hAnsi="Arial" w:cs="Arial"/>
                <w:sz w:val="12"/>
                <w:szCs w:val="12"/>
              </w:rPr>
            </w:pPr>
          </w:p>
        </w:tc>
      </w:tr>
      <w:tr w:rsidR="00E20D64" w14:paraId="556F6048" w14:textId="77777777">
        <w:trPr>
          <w:trHeight w:val="30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BFF41B" w14:textId="70F46F9A" w:rsidR="00E20D64" w:rsidRDefault="00421324">
            <w:pPr>
              <w:spacing w:line="288" w:lineRule="auto"/>
              <w:rPr>
                <w:rFonts w:ascii="Arial" w:eastAsia="Arial" w:hAnsi="Arial" w:cs="Arial"/>
                <w:sz w:val="18"/>
                <w:szCs w:val="18"/>
              </w:rPr>
            </w:pPr>
            <w:proofErr w:type="spellStart"/>
            <w:r>
              <w:rPr>
                <w:rFonts w:ascii="Arial" w:eastAsia="Arial" w:hAnsi="Arial" w:cs="Arial"/>
                <w:b/>
                <w:bCs/>
                <w:sz w:val="18"/>
                <w:szCs w:val="18"/>
              </w:rPr>
              <w:t>Fatturato</w:t>
            </w:r>
            <w:proofErr w:type="spellEnd"/>
            <w:r w:rsidR="00E20D64" w:rsidRPr="75B220F3">
              <w:rPr>
                <w:rFonts w:ascii="Arial" w:eastAsia="Arial" w:hAnsi="Arial" w:cs="Arial"/>
                <w:b/>
                <w:bCs/>
                <w:sz w:val="18"/>
                <w:szCs w:val="18"/>
              </w:rPr>
              <w:t xml:space="preserve"> 2024</w:t>
            </w:r>
          </w:p>
        </w:tc>
        <w:tc>
          <w:tcPr>
            <w:tcW w:w="154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047EA2" w14:textId="611EEA0B" w:rsidR="00E20D64" w:rsidRDefault="00865570">
            <w:pPr>
              <w:spacing w:line="288" w:lineRule="auto"/>
              <w:jc w:val="center"/>
              <w:rPr>
                <w:rFonts w:ascii="Arial" w:eastAsia="Arial" w:hAnsi="Arial" w:cs="Arial"/>
                <w:sz w:val="14"/>
                <w:szCs w:val="14"/>
              </w:rPr>
            </w:pPr>
            <w:r>
              <w:rPr>
                <w:rFonts w:ascii="Arial" w:eastAsia="Arial" w:hAnsi="Arial" w:cs="Arial"/>
                <w:b/>
                <w:bCs/>
                <w:sz w:val="14"/>
                <w:szCs w:val="14"/>
              </w:rPr>
              <w:t>(</w:t>
            </w:r>
            <w:r w:rsidR="00E20D64" w:rsidRPr="75B220F3">
              <w:rPr>
                <w:rFonts w:ascii="Arial" w:eastAsia="Arial" w:hAnsi="Arial" w:cs="Arial"/>
                <w:b/>
                <w:bCs/>
                <w:sz w:val="14"/>
                <w:szCs w:val="14"/>
              </w:rPr>
              <w:t>a)</w:t>
            </w:r>
          </w:p>
        </w:tc>
        <w:tc>
          <w:tcPr>
            <w:tcW w:w="13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B7AE9FD" w14:textId="154D3E29" w:rsidR="00E20D64" w:rsidRDefault="00E20D64">
            <w:pPr>
              <w:spacing w:line="288" w:lineRule="auto"/>
              <w:jc w:val="right"/>
              <w:rPr>
                <w:rFonts w:ascii="Arial" w:eastAsia="Arial" w:hAnsi="Arial" w:cs="Arial"/>
                <w:color w:val="000000" w:themeColor="text1"/>
                <w:sz w:val="18"/>
                <w:szCs w:val="18"/>
              </w:rPr>
            </w:pPr>
            <w:r>
              <w:rPr>
                <w:rFonts w:ascii="Arial" w:eastAsia="Arial" w:hAnsi="Arial" w:cs="Arial"/>
                <w:b/>
                <w:bCs/>
                <w:color w:val="000000" w:themeColor="text1"/>
                <w:sz w:val="18"/>
                <w:szCs w:val="18"/>
              </w:rPr>
              <w:t>801</w:t>
            </w:r>
            <w:r w:rsidR="00BD3E21">
              <w:rPr>
                <w:rFonts w:ascii="Arial" w:eastAsia="Arial" w:hAnsi="Arial" w:cs="Arial"/>
                <w:b/>
                <w:bCs/>
                <w:color w:val="000000" w:themeColor="text1"/>
                <w:sz w:val="18"/>
                <w:szCs w:val="18"/>
              </w:rPr>
              <w:t>,</w:t>
            </w:r>
            <w:r>
              <w:rPr>
                <w:rFonts w:ascii="Arial" w:eastAsia="Arial" w:hAnsi="Arial" w:cs="Arial"/>
                <w:b/>
                <w:bCs/>
                <w:color w:val="000000" w:themeColor="text1"/>
                <w:sz w:val="18"/>
                <w:szCs w:val="18"/>
              </w:rPr>
              <w:t>6</w:t>
            </w:r>
          </w:p>
        </w:tc>
      </w:tr>
      <w:tr w:rsidR="00E20D64" w14:paraId="3E6F02C0" w14:textId="77777777">
        <w:trPr>
          <w:trHeight w:val="300"/>
        </w:trPr>
        <w:tc>
          <w:tcPr>
            <w:tcW w:w="2700" w:type="dxa"/>
            <w:tcBorders>
              <w:top w:val="single" w:sz="6" w:space="0" w:color="auto"/>
              <w:left w:val="nil"/>
              <w:bottom w:val="single" w:sz="6" w:space="0" w:color="auto"/>
              <w:right w:val="nil"/>
            </w:tcBorders>
            <w:tcMar>
              <w:left w:w="60" w:type="dxa"/>
              <w:right w:w="60" w:type="dxa"/>
            </w:tcMar>
            <w:vAlign w:val="center"/>
          </w:tcPr>
          <w:p w14:paraId="2CCD8E0A" w14:textId="77777777" w:rsidR="00E20D64" w:rsidRDefault="00E20D64">
            <w:pPr>
              <w:spacing w:line="288" w:lineRule="auto"/>
              <w:rPr>
                <w:rFonts w:ascii="Arial" w:eastAsia="Arial" w:hAnsi="Arial" w:cs="Arial"/>
                <w:sz w:val="12"/>
                <w:szCs w:val="12"/>
              </w:rPr>
            </w:pPr>
          </w:p>
        </w:tc>
        <w:tc>
          <w:tcPr>
            <w:tcW w:w="1545" w:type="dxa"/>
            <w:tcBorders>
              <w:top w:val="single" w:sz="6" w:space="0" w:color="auto"/>
              <w:left w:val="nil"/>
              <w:bottom w:val="single" w:sz="6" w:space="0" w:color="auto"/>
              <w:right w:val="nil"/>
            </w:tcBorders>
            <w:tcMar>
              <w:left w:w="60" w:type="dxa"/>
              <w:right w:w="60" w:type="dxa"/>
            </w:tcMar>
            <w:vAlign w:val="center"/>
          </w:tcPr>
          <w:p w14:paraId="64CECDFA" w14:textId="77777777" w:rsidR="00E20D64" w:rsidRDefault="00E20D64">
            <w:pPr>
              <w:spacing w:line="288" w:lineRule="auto"/>
              <w:jc w:val="center"/>
              <w:rPr>
                <w:rFonts w:ascii="Arial" w:eastAsia="Arial" w:hAnsi="Arial" w:cs="Arial"/>
                <w:sz w:val="12"/>
                <w:szCs w:val="12"/>
              </w:rPr>
            </w:pPr>
          </w:p>
        </w:tc>
        <w:tc>
          <w:tcPr>
            <w:tcW w:w="1305" w:type="dxa"/>
            <w:tcBorders>
              <w:top w:val="single" w:sz="6" w:space="0" w:color="auto"/>
              <w:left w:val="nil"/>
              <w:bottom w:val="single" w:sz="6" w:space="0" w:color="auto"/>
              <w:right w:val="nil"/>
            </w:tcBorders>
            <w:tcMar>
              <w:left w:w="60" w:type="dxa"/>
              <w:right w:w="60" w:type="dxa"/>
            </w:tcMar>
            <w:vAlign w:val="center"/>
          </w:tcPr>
          <w:p w14:paraId="6CC0E06F" w14:textId="77777777" w:rsidR="00E20D64" w:rsidRDefault="00E20D64">
            <w:pPr>
              <w:spacing w:line="288" w:lineRule="auto"/>
              <w:jc w:val="right"/>
              <w:rPr>
                <w:rFonts w:ascii="Arial" w:eastAsia="Arial" w:hAnsi="Arial" w:cs="Arial"/>
                <w:sz w:val="12"/>
                <w:szCs w:val="12"/>
              </w:rPr>
            </w:pPr>
          </w:p>
        </w:tc>
      </w:tr>
      <w:tr w:rsidR="00E20D64" w14:paraId="19D4D66E" w14:textId="77777777">
        <w:trPr>
          <w:trHeight w:val="300"/>
        </w:trPr>
        <w:tc>
          <w:tcPr>
            <w:tcW w:w="2700" w:type="dxa"/>
            <w:tcBorders>
              <w:top w:val="single" w:sz="6" w:space="0" w:color="auto"/>
              <w:left w:val="single" w:sz="6" w:space="0" w:color="auto"/>
              <w:bottom w:val="nil"/>
              <w:right w:val="single" w:sz="6" w:space="0" w:color="auto"/>
            </w:tcBorders>
            <w:tcMar>
              <w:left w:w="60" w:type="dxa"/>
              <w:right w:w="60" w:type="dxa"/>
            </w:tcMar>
            <w:vAlign w:val="center"/>
          </w:tcPr>
          <w:p w14:paraId="43C9667A" w14:textId="3DA02E67" w:rsidR="00E20D64" w:rsidRDefault="00421324">
            <w:pPr>
              <w:spacing w:line="288" w:lineRule="auto"/>
              <w:rPr>
                <w:rFonts w:ascii="Arial" w:eastAsia="Arial" w:hAnsi="Arial" w:cs="Arial"/>
                <w:sz w:val="18"/>
                <w:szCs w:val="18"/>
              </w:rPr>
            </w:pPr>
            <w:proofErr w:type="spellStart"/>
            <w:r>
              <w:rPr>
                <w:rFonts w:ascii="Arial" w:eastAsia="Arial" w:hAnsi="Arial" w:cs="Arial"/>
                <w:b/>
                <w:bCs/>
                <w:sz w:val="18"/>
                <w:szCs w:val="18"/>
              </w:rPr>
              <w:t>Fatturato</w:t>
            </w:r>
            <w:proofErr w:type="spellEnd"/>
            <w:r w:rsidR="00E20D64" w:rsidRPr="75B220F3">
              <w:rPr>
                <w:rFonts w:ascii="Arial" w:eastAsia="Arial" w:hAnsi="Arial" w:cs="Arial"/>
                <w:b/>
                <w:bCs/>
                <w:sz w:val="18"/>
                <w:szCs w:val="18"/>
              </w:rPr>
              <w:t xml:space="preserve"> IFRS 2025</w:t>
            </w:r>
          </w:p>
        </w:tc>
        <w:tc>
          <w:tcPr>
            <w:tcW w:w="1545" w:type="dxa"/>
            <w:tcBorders>
              <w:top w:val="single" w:sz="6" w:space="0" w:color="auto"/>
              <w:left w:val="single" w:sz="6" w:space="0" w:color="auto"/>
              <w:bottom w:val="nil"/>
              <w:right w:val="single" w:sz="6" w:space="0" w:color="auto"/>
            </w:tcBorders>
            <w:tcMar>
              <w:left w:w="60" w:type="dxa"/>
              <w:right w:w="60" w:type="dxa"/>
            </w:tcMar>
            <w:vAlign w:val="center"/>
          </w:tcPr>
          <w:p w14:paraId="206D3149" w14:textId="7A059DDB" w:rsidR="00E20D64" w:rsidRDefault="00865570">
            <w:pPr>
              <w:spacing w:line="288" w:lineRule="auto"/>
              <w:jc w:val="center"/>
              <w:rPr>
                <w:rFonts w:ascii="Arial" w:eastAsia="Arial" w:hAnsi="Arial" w:cs="Arial"/>
                <w:color w:val="000000" w:themeColor="text1"/>
                <w:sz w:val="14"/>
                <w:szCs w:val="14"/>
              </w:rPr>
            </w:pPr>
            <w:r>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b)</w:t>
            </w:r>
          </w:p>
        </w:tc>
        <w:tc>
          <w:tcPr>
            <w:tcW w:w="1305" w:type="dxa"/>
            <w:tcBorders>
              <w:top w:val="single" w:sz="6" w:space="0" w:color="auto"/>
              <w:left w:val="single" w:sz="6" w:space="0" w:color="auto"/>
              <w:bottom w:val="nil"/>
              <w:right w:val="single" w:sz="6" w:space="0" w:color="auto"/>
            </w:tcBorders>
            <w:tcMar>
              <w:left w:w="60" w:type="dxa"/>
              <w:right w:w="60" w:type="dxa"/>
            </w:tcMar>
            <w:vAlign w:val="center"/>
          </w:tcPr>
          <w:p w14:paraId="180884A1" w14:textId="422CA021" w:rsidR="00E20D64" w:rsidRPr="008E5135" w:rsidRDefault="00E20D64">
            <w:pPr>
              <w:spacing w:line="288" w:lineRule="auto"/>
              <w:jc w:val="right"/>
              <w:rPr>
                <w:rFonts w:ascii="Arial" w:eastAsia="Arial" w:hAnsi="Arial" w:cs="Arial"/>
                <w:b/>
                <w:bCs/>
                <w:color w:val="000000" w:themeColor="text1"/>
                <w:sz w:val="18"/>
                <w:szCs w:val="18"/>
              </w:rPr>
            </w:pPr>
            <w:r w:rsidRPr="008E5135">
              <w:rPr>
                <w:rFonts w:ascii="Arial" w:eastAsia="Arial" w:hAnsi="Arial" w:cs="Arial"/>
                <w:b/>
                <w:bCs/>
                <w:color w:val="000000" w:themeColor="text1"/>
                <w:sz w:val="18"/>
                <w:szCs w:val="18"/>
              </w:rPr>
              <w:t>797</w:t>
            </w:r>
            <w:r w:rsidR="00BD3E21">
              <w:rPr>
                <w:rFonts w:ascii="Arial" w:eastAsia="Arial" w:hAnsi="Arial" w:cs="Arial"/>
                <w:b/>
                <w:bCs/>
                <w:color w:val="000000" w:themeColor="text1"/>
                <w:sz w:val="18"/>
                <w:szCs w:val="18"/>
              </w:rPr>
              <w:t>,</w:t>
            </w:r>
            <w:r w:rsidRPr="008E5135">
              <w:rPr>
                <w:rFonts w:ascii="Arial" w:eastAsia="Arial" w:hAnsi="Arial" w:cs="Arial"/>
                <w:b/>
                <w:bCs/>
                <w:color w:val="000000" w:themeColor="text1"/>
                <w:sz w:val="18"/>
                <w:szCs w:val="18"/>
              </w:rPr>
              <w:t>7</w:t>
            </w:r>
          </w:p>
        </w:tc>
      </w:tr>
      <w:tr w:rsidR="00E20D64" w14:paraId="75224E90" w14:textId="77777777">
        <w:trPr>
          <w:trHeight w:val="300"/>
        </w:trPr>
        <w:tc>
          <w:tcPr>
            <w:tcW w:w="2700" w:type="dxa"/>
            <w:tcBorders>
              <w:top w:val="nil"/>
              <w:left w:val="single" w:sz="6" w:space="0" w:color="auto"/>
              <w:bottom w:val="nil"/>
              <w:right w:val="single" w:sz="6" w:space="0" w:color="auto"/>
            </w:tcBorders>
            <w:tcMar>
              <w:left w:w="60" w:type="dxa"/>
              <w:right w:w="60" w:type="dxa"/>
            </w:tcMar>
            <w:vAlign w:val="center"/>
          </w:tcPr>
          <w:p w14:paraId="1532E772" w14:textId="77777777" w:rsidR="00E20D64" w:rsidRDefault="00E20D64">
            <w:pPr>
              <w:spacing w:line="288" w:lineRule="auto"/>
              <w:ind w:left="218"/>
              <w:rPr>
                <w:rFonts w:ascii="Arial" w:eastAsia="Arial" w:hAnsi="Arial" w:cs="Arial"/>
                <w:sz w:val="18"/>
                <w:szCs w:val="18"/>
              </w:rPr>
            </w:pPr>
            <w:proofErr w:type="spellStart"/>
            <w:r w:rsidRPr="75B220F3">
              <w:rPr>
                <w:rFonts w:ascii="Arial" w:eastAsia="Arial" w:hAnsi="Arial" w:cs="Arial"/>
                <w:sz w:val="18"/>
                <w:szCs w:val="18"/>
              </w:rPr>
              <w:t>Impatto</w:t>
            </w:r>
            <w:proofErr w:type="spellEnd"/>
            <w:r w:rsidRPr="75B220F3">
              <w:rPr>
                <w:rFonts w:ascii="Arial" w:eastAsia="Arial" w:hAnsi="Arial" w:cs="Arial"/>
                <w:sz w:val="18"/>
                <w:szCs w:val="18"/>
              </w:rPr>
              <w:t xml:space="preserve"> </w:t>
            </w:r>
            <w:proofErr w:type="spellStart"/>
            <w:r w:rsidRPr="75B220F3">
              <w:rPr>
                <w:rFonts w:ascii="Arial" w:eastAsia="Arial" w:hAnsi="Arial" w:cs="Arial"/>
                <w:sz w:val="18"/>
                <w:szCs w:val="18"/>
              </w:rPr>
              <w:t>dell'IFRS</w:t>
            </w:r>
            <w:proofErr w:type="spellEnd"/>
            <w:r w:rsidRPr="75B220F3">
              <w:rPr>
                <w:rFonts w:ascii="Arial" w:eastAsia="Arial" w:hAnsi="Arial" w:cs="Arial"/>
                <w:sz w:val="18"/>
                <w:szCs w:val="18"/>
              </w:rPr>
              <w:t xml:space="preserve"> 11</w:t>
            </w:r>
          </w:p>
        </w:tc>
        <w:tc>
          <w:tcPr>
            <w:tcW w:w="1545" w:type="dxa"/>
            <w:tcBorders>
              <w:top w:val="nil"/>
              <w:left w:val="single" w:sz="6" w:space="0" w:color="auto"/>
              <w:bottom w:val="nil"/>
              <w:right w:val="single" w:sz="6" w:space="0" w:color="auto"/>
            </w:tcBorders>
            <w:tcMar>
              <w:left w:w="60" w:type="dxa"/>
              <w:right w:w="60" w:type="dxa"/>
            </w:tcMar>
            <w:vAlign w:val="center"/>
          </w:tcPr>
          <w:p w14:paraId="5CE5BDB4" w14:textId="77777777" w:rsidR="00E20D64" w:rsidRDefault="00E20D64">
            <w:pPr>
              <w:spacing w:line="288" w:lineRule="auto"/>
              <w:jc w:val="center"/>
              <w:rPr>
                <w:rFonts w:ascii="Arial" w:eastAsia="Arial" w:hAnsi="Arial" w:cs="Arial"/>
                <w:color w:val="000000" w:themeColor="text1"/>
                <w:sz w:val="14"/>
                <w:szCs w:val="14"/>
              </w:rPr>
            </w:pPr>
            <w:r w:rsidRPr="75B220F3">
              <w:rPr>
                <w:rFonts w:ascii="Arial" w:eastAsia="Arial" w:hAnsi="Arial" w:cs="Arial"/>
                <w:color w:val="000000" w:themeColor="text1"/>
                <w:sz w:val="14"/>
                <w:szCs w:val="14"/>
              </w:rPr>
              <w:t>(c)</w:t>
            </w:r>
          </w:p>
        </w:tc>
        <w:tc>
          <w:tcPr>
            <w:tcW w:w="1305" w:type="dxa"/>
            <w:tcBorders>
              <w:top w:val="nil"/>
              <w:left w:val="single" w:sz="6" w:space="0" w:color="auto"/>
              <w:bottom w:val="nil"/>
              <w:right w:val="single" w:sz="6" w:space="0" w:color="auto"/>
            </w:tcBorders>
            <w:tcMar>
              <w:left w:w="60" w:type="dxa"/>
              <w:right w:w="60" w:type="dxa"/>
            </w:tcMar>
            <w:vAlign w:val="center"/>
          </w:tcPr>
          <w:p w14:paraId="74AB928E" w14:textId="5CD7CB36" w:rsidR="00E20D64" w:rsidRDefault="00E20D64">
            <w:pPr>
              <w:spacing w:line="288" w:lineRule="auto"/>
              <w:jc w:val="right"/>
              <w:rPr>
                <w:rFonts w:ascii="Arial" w:eastAsia="Arial" w:hAnsi="Arial" w:cs="Arial"/>
                <w:color w:val="000000" w:themeColor="text1"/>
                <w:sz w:val="18"/>
                <w:szCs w:val="18"/>
              </w:rPr>
            </w:pPr>
            <w:r w:rsidRPr="00DE1EA6">
              <w:rPr>
                <w:rFonts w:ascii="Arial" w:eastAsia="Arial" w:hAnsi="Arial" w:cs="Arial"/>
                <w:color w:val="000000" w:themeColor="text1"/>
                <w:sz w:val="18"/>
                <w:szCs w:val="18"/>
              </w:rPr>
              <w:t>60</w:t>
            </w:r>
            <w:r w:rsidR="00BD3E21">
              <w:rPr>
                <w:rFonts w:ascii="Arial" w:eastAsia="Arial" w:hAnsi="Arial" w:cs="Arial"/>
                <w:color w:val="000000" w:themeColor="text1"/>
                <w:sz w:val="18"/>
                <w:szCs w:val="18"/>
              </w:rPr>
              <w:t>,</w:t>
            </w:r>
            <w:r w:rsidRPr="00DE1EA6">
              <w:rPr>
                <w:rFonts w:ascii="Arial" w:eastAsia="Arial" w:hAnsi="Arial" w:cs="Arial"/>
                <w:color w:val="000000" w:themeColor="text1"/>
                <w:sz w:val="18"/>
                <w:szCs w:val="18"/>
              </w:rPr>
              <w:t>3</w:t>
            </w:r>
          </w:p>
        </w:tc>
      </w:tr>
      <w:tr w:rsidR="00E20D64" w14:paraId="6FC397A2" w14:textId="77777777">
        <w:trPr>
          <w:trHeight w:val="300"/>
        </w:trPr>
        <w:tc>
          <w:tcPr>
            <w:tcW w:w="2700" w:type="dxa"/>
            <w:tcBorders>
              <w:top w:val="nil"/>
              <w:left w:val="single" w:sz="6" w:space="0" w:color="auto"/>
              <w:bottom w:val="nil"/>
              <w:right w:val="single" w:sz="6" w:space="0" w:color="auto"/>
            </w:tcBorders>
            <w:tcMar>
              <w:left w:w="60" w:type="dxa"/>
              <w:right w:w="60" w:type="dxa"/>
            </w:tcMar>
            <w:vAlign w:val="center"/>
          </w:tcPr>
          <w:p w14:paraId="402CE99E" w14:textId="17BC167D" w:rsidR="00E20D64" w:rsidRDefault="00421324">
            <w:pPr>
              <w:spacing w:line="288" w:lineRule="auto"/>
              <w:rPr>
                <w:rFonts w:ascii="Arial" w:eastAsia="Arial" w:hAnsi="Arial" w:cs="Arial"/>
                <w:sz w:val="18"/>
                <w:szCs w:val="18"/>
              </w:rPr>
            </w:pPr>
            <w:proofErr w:type="spellStart"/>
            <w:r>
              <w:rPr>
                <w:rFonts w:ascii="Arial" w:eastAsia="Arial" w:hAnsi="Arial" w:cs="Arial"/>
                <w:b/>
                <w:bCs/>
                <w:sz w:val="18"/>
                <w:szCs w:val="18"/>
              </w:rPr>
              <w:t>Fatturato</w:t>
            </w:r>
            <w:proofErr w:type="spellEnd"/>
            <w:r w:rsidR="00E20D64" w:rsidRPr="75B220F3">
              <w:rPr>
                <w:rFonts w:ascii="Arial" w:eastAsia="Arial" w:hAnsi="Arial" w:cs="Arial"/>
                <w:b/>
                <w:bCs/>
                <w:sz w:val="18"/>
                <w:szCs w:val="18"/>
              </w:rPr>
              <w:t xml:space="preserve"> 2025</w:t>
            </w:r>
          </w:p>
        </w:tc>
        <w:tc>
          <w:tcPr>
            <w:tcW w:w="1545" w:type="dxa"/>
            <w:tcBorders>
              <w:top w:val="nil"/>
              <w:left w:val="single" w:sz="6" w:space="0" w:color="auto"/>
              <w:bottom w:val="nil"/>
              <w:right w:val="single" w:sz="6" w:space="0" w:color="auto"/>
            </w:tcBorders>
            <w:tcMar>
              <w:left w:w="60" w:type="dxa"/>
              <w:right w:w="60" w:type="dxa"/>
            </w:tcMar>
            <w:vAlign w:val="center"/>
          </w:tcPr>
          <w:p w14:paraId="160B1D41" w14:textId="57C7BCE4" w:rsidR="00E20D64" w:rsidRDefault="00F14AC4">
            <w:pPr>
              <w:spacing w:line="288" w:lineRule="auto"/>
              <w:jc w:val="center"/>
              <w:rPr>
                <w:rFonts w:ascii="Arial" w:eastAsia="Arial" w:hAnsi="Arial" w:cs="Arial"/>
                <w:color w:val="000000" w:themeColor="text1"/>
                <w:sz w:val="14"/>
                <w:szCs w:val="14"/>
              </w:rPr>
            </w:pPr>
            <w:r>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 xml:space="preserve">d) = </w:t>
            </w:r>
            <w:r>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 xml:space="preserve">b) + </w:t>
            </w:r>
            <w:r>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c)</w:t>
            </w:r>
          </w:p>
        </w:tc>
        <w:tc>
          <w:tcPr>
            <w:tcW w:w="1305" w:type="dxa"/>
            <w:tcBorders>
              <w:top w:val="nil"/>
              <w:left w:val="single" w:sz="6" w:space="0" w:color="auto"/>
              <w:bottom w:val="nil"/>
              <w:right w:val="single" w:sz="6" w:space="0" w:color="auto"/>
            </w:tcBorders>
            <w:tcMar>
              <w:left w:w="60" w:type="dxa"/>
              <w:right w:w="60" w:type="dxa"/>
            </w:tcMar>
            <w:vAlign w:val="center"/>
          </w:tcPr>
          <w:p w14:paraId="436E0BB3" w14:textId="3A73D72A" w:rsidR="00E20D64" w:rsidRDefault="00E20D64">
            <w:pPr>
              <w:spacing w:line="288" w:lineRule="auto"/>
              <w:jc w:val="right"/>
              <w:rPr>
                <w:rFonts w:ascii="Arial" w:eastAsia="Arial" w:hAnsi="Arial" w:cs="Arial"/>
                <w:b/>
                <w:bCs/>
                <w:color w:val="000000" w:themeColor="text1"/>
                <w:sz w:val="18"/>
                <w:szCs w:val="18"/>
                <w:highlight w:val="yellow"/>
              </w:rPr>
            </w:pPr>
            <w:r w:rsidRPr="00D2438E">
              <w:rPr>
                <w:rFonts w:ascii="Arial" w:eastAsia="Arial" w:hAnsi="Arial" w:cs="Arial"/>
                <w:b/>
                <w:bCs/>
                <w:color w:val="000000" w:themeColor="text1"/>
                <w:sz w:val="18"/>
                <w:szCs w:val="18"/>
              </w:rPr>
              <w:t>858</w:t>
            </w:r>
            <w:r w:rsidR="00BD3E21">
              <w:rPr>
                <w:rFonts w:ascii="Arial" w:eastAsia="Arial" w:hAnsi="Arial" w:cs="Arial"/>
                <w:b/>
                <w:bCs/>
                <w:color w:val="000000" w:themeColor="text1"/>
                <w:sz w:val="18"/>
                <w:szCs w:val="18"/>
              </w:rPr>
              <w:t>,</w:t>
            </w:r>
            <w:r w:rsidRPr="00D2438E">
              <w:rPr>
                <w:rFonts w:ascii="Arial" w:eastAsia="Arial" w:hAnsi="Arial" w:cs="Arial"/>
                <w:b/>
                <w:bCs/>
                <w:color w:val="000000" w:themeColor="text1"/>
                <w:sz w:val="18"/>
                <w:szCs w:val="18"/>
              </w:rPr>
              <w:t>0</w:t>
            </w:r>
          </w:p>
        </w:tc>
      </w:tr>
      <w:tr w:rsidR="00E20D64" w14:paraId="5656CB4F" w14:textId="77777777">
        <w:trPr>
          <w:trHeight w:val="300"/>
        </w:trPr>
        <w:tc>
          <w:tcPr>
            <w:tcW w:w="2700" w:type="dxa"/>
            <w:tcBorders>
              <w:top w:val="nil"/>
              <w:left w:val="single" w:sz="6" w:space="0" w:color="auto"/>
              <w:bottom w:val="nil"/>
              <w:right w:val="single" w:sz="6" w:space="0" w:color="auto"/>
            </w:tcBorders>
            <w:tcMar>
              <w:left w:w="60" w:type="dxa"/>
              <w:right w:w="60" w:type="dxa"/>
            </w:tcMar>
            <w:vAlign w:val="center"/>
          </w:tcPr>
          <w:p w14:paraId="3D9D183D" w14:textId="77777777" w:rsidR="00E20D64" w:rsidRDefault="00E20D64">
            <w:pPr>
              <w:spacing w:line="288" w:lineRule="auto"/>
              <w:ind w:left="218"/>
              <w:rPr>
                <w:rFonts w:ascii="Arial" w:eastAsia="Arial" w:hAnsi="Arial" w:cs="Arial"/>
                <w:sz w:val="18"/>
                <w:szCs w:val="18"/>
              </w:rPr>
            </w:pPr>
            <w:proofErr w:type="spellStart"/>
            <w:r w:rsidRPr="75B220F3">
              <w:rPr>
                <w:rFonts w:ascii="Arial" w:eastAsia="Arial" w:hAnsi="Arial" w:cs="Arial"/>
                <w:sz w:val="18"/>
                <w:szCs w:val="18"/>
              </w:rPr>
              <w:t>Effetti</w:t>
            </w:r>
            <w:proofErr w:type="spellEnd"/>
            <w:r w:rsidRPr="75B220F3">
              <w:rPr>
                <w:rFonts w:ascii="Arial" w:eastAsia="Arial" w:hAnsi="Arial" w:cs="Arial"/>
                <w:sz w:val="18"/>
                <w:szCs w:val="18"/>
              </w:rPr>
              <w:t xml:space="preserve"> </w:t>
            </w:r>
            <w:proofErr w:type="spellStart"/>
            <w:r w:rsidRPr="75B220F3">
              <w:rPr>
                <w:rFonts w:ascii="Arial" w:eastAsia="Arial" w:hAnsi="Arial" w:cs="Arial"/>
                <w:sz w:val="18"/>
                <w:szCs w:val="18"/>
              </w:rPr>
              <w:t>valutari</w:t>
            </w:r>
            <w:proofErr w:type="spellEnd"/>
          </w:p>
        </w:tc>
        <w:tc>
          <w:tcPr>
            <w:tcW w:w="1545" w:type="dxa"/>
            <w:tcBorders>
              <w:top w:val="nil"/>
              <w:left w:val="single" w:sz="6" w:space="0" w:color="auto"/>
              <w:bottom w:val="nil"/>
              <w:right w:val="single" w:sz="6" w:space="0" w:color="auto"/>
            </w:tcBorders>
            <w:tcMar>
              <w:left w:w="60" w:type="dxa"/>
              <w:right w:w="60" w:type="dxa"/>
            </w:tcMar>
            <w:vAlign w:val="center"/>
          </w:tcPr>
          <w:p w14:paraId="4EB7B5B3" w14:textId="4485D00C" w:rsidR="00E20D64" w:rsidRDefault="00865570">
            <w:pPr>
              <w:spacing w:line="288"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w:t>
            </w:r>
            <w:r w:rsidR="00E20D64" w:rsidRPr="75B220F3">
              <w:rPr>
                <w:rFonts w:ascii="Arial" w:eastAsia="Arial" w:hAnsi="Arial" w:cs="Arial"/>
                <w:color w:val="000000" w:themeColor="text1"/>
                <w:sz w:val="14"/>
                <w:szCs w:val="14"/>
              </w:rPr>
              <w:t>e)</w:t>
            </w:r>
          </w:p>
        </w:tc>
        <w:tc>
          <w:tcPr>
            <w:tcW w:w="1305" w:type="dxa"/>
            <w:tcBorders>
              <w:top w:val="nil"/>
              <w:left w:val="single" w:sz="6" w:space="0" w:color="auto"/>
              <w:bottom w:val="nil"/>
              <w:right w:val="single" w:sz="6" w:space="0" w:color="auto"/>
            </w:tcBorders>
            <w:tcMar>
              <w:left w:w="60" w:type="dxa"/>
              <w:right w:w="60" w:type="dxa"/>
            </w:tcMar>
            <w:vAlign w:val="center"/>
          </w:tcPr>
          <w:p w14:paraId="78C27030" w14:textId="1D5423B2" w:rsidR="00E20D64" w:rsidRDefault="00E20D64">
            <w:pPr>
              <w:spacing w:line="288" w:lineRule="auto"/>
              <w:jc w:val="right"/>
              <w:rPr>
                <w:rFonts w:ascii="Arial" w:eastAsia="Arial" w:hAnsi="Arial" w:cs="Arial"/>
                <w:color w:val="000000" w:themeColor="text1"/>
                <w:sz w:val="18"/>
                <w:szCs w:val="18"/>
              </w:rPr>
            </w:pPr>
            <w:r>
              <w:rPr>
                <w:rFonts w:ascii="Arial" w:eastAsia="Arial" w:hAnsi="Arial" w:cs="Arial"/>
                <w:color w:val="000000" w:themeColor="text1"/>
                <w:sz w:val="18"/>
                <w:szCs w:val="18"/>
              </w:rPr>
              <w:t>-1</w:t>
            </w:r>
            <w:r w:rsidR="00BD3E21">
              <w:rPr>
                <w:rFonts w:ascii="Arial" w:eastAsia="Arial" w:hAnsi="Arial" w:cs="Arial"/>
                <w:color w:val="000000" w:themeColor="text1"/>
                <w:sz w:val="18"/>
                <w:szCs w:val="18"/>
              </w:rPr>
              <w:t>,</w:t>
            </w:r>
            <w:r>
              <w:rPr>
                <w:rFonts w:ascii="Arial" w:eastAsia="Arial" w:hAnsi="Arial" w:cs="Arial"/>
                <w:color w:val="000000" w:themeColor="text1"/>
                <w:sz w:val="18"/>
                <w:szCs w:val="18"/>
              </w:rPr>
              <w:t>5</w:t>
            </w:r>
          </w:p>
        </w:tc>
      </w:tr>
      <w:tr w:rsidR="00E20D64" w14:paraId="449D1DE8" w14:textId="77777777">
        <w:trPr>
          <w:trHeight w:val="300"/>
        </w:trPr>
        <w:tc>
          <w:tcPr>
            <w:tcW w:w="2700" w:type="dxa"/>
            <w:tcBorders>
              <w:top w:val="nil"/>
              <w:left w:val="single" w:sz="6" w:space="0" w:color="auto"/>
              <w:bottom w:val="nil"/>
              <w:right w:val="single" w:sz="6" w:space="0" w:color="auto"/>
            </w:tcBorders>
            <w:tcMar>
              <w:left w:w="60" w:type="dxa"/>
              <w:right w:w="60" w:type="dxa"/>
            </w:tcMar>
            <w:vAlign w:val="center"/>
          </w:tcPr>
          <w:p w14:paraId="5AC288DD" w14:textId="2ADF5E00" w:rsidR="00E20D64" w:rsidRPr="00AD6945" w:rsidRDefault="00421324">
            <w:pPr>
              <w:spacing w:line="288" w:lineRule="auto"/>
              <w:rPr>
                <w:rFonts w:ascii="Arial" w:eastAsia="Arial" w:hAnsi="Arial" w:cs="Arial"/>
                <w:sz w:val="18"/>
                <w:szCs w:val="18"/>
                <w:lang w:val="it-IT"/>
              </w:rPr>
            </w:pPr>
            <w:r w:rsidRPr="00421324">
              <w:rPr>
                <w:rFonts w:ascii="Arial" w:eastAsia="Arial" w:hAnsi="Arial" w:cs="Arial"/>
                <w:b/>
                <w:bCs/>
                <w:sz w:val="18"/>
                <w:szCs w:val="18"/>
                <w:lang w:val="it-IT"/>
              </w:rPr>
              <w:t>Fatturato</w:t>
            </w:r>
            <w:r w:rsidR="00E20D64" w:rsidRPr="00AD6945">
              <w:rPr>
                <w:rFonts w:ascii="Arial" w:eastAsia="Arial" w:hAnsi="Arial" w:cs="Arial"/>
                <w:b/>
                <w:bCs/>
                <w:sz w:val="18"/>
                <w:szCs w:val="18"/>
                <w:lang w:val="it-IT"/>
              </w:rPr>
              <w:t xml:space="preserve"> 2025 a tassi di cambio 2024</w:t>
            </w:r>
          </w:p>
        </w:tc>
        <w:tc>
          <w:tcPr>
            <w:tcW w:w="1545" w:type="dxa"/>
            <w:tcBorders>
              <w:top w:val="nil"/>
              <w:left w:val="single" w:sz="6" w:space="0" w:color="auto"/>
              <w:bottom w:val="nil"/>
              <w:right w:val="single" w:sz="6" w:space="0" w:color="auto"/>
            </w:tcBorders>
            <w:tcMar>
              <w:left w:w="60" w:type="dxa"/>
              <w:right w:w="60" w:type="dxa"/>
            </w:tcMar>
            <w:vAlign w:val="center"/>
          </w:tcPr>
          <w:p w14:paraId="74096717" w14:textId="3C9880B1" w:rsidR="00E20D64" w:rsidRDefault="005756C4">
            <w:pPr>
              <w:spacing w:line="288" w:lineRule="auto"/>
              <w:jc w:val="center"/>
              <w:rPr>
                <w:rFonts w:ascii="Arial" w:eastAsia="Arial" w:hAnsi="Arial" w:cs="Arial"/>
                <w:color w:val="000000" w:themeColor="text1"/>
                <w:sz w:val="14"/>
                <w:szCs w:val="14"/>
              </w:rPr>
            </w:pPr>
            <w:r>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 xml:space="preserve">f) = </w:t>
            </w:r>
            <w:r w:rsidR="00865570">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 xml:space="preserve">d) + </w:t>
            </w:r>
            <w:r w:rsidR="00865570">
              <w:rPr>
                <w:rFonts w:ascii="Arial" w:eastAsia="Arial" w:hAnsi="Arial" w:cs="Arial"/>
                <w:b/>
                <w:bCs/>
                <w:color w:val="000000" w:themeColor="text1"/>
                <w:sz w:val="14"/>
                <w:szCs w:val="14"/>
              </w:rPr>
              <w:t>(</w:t>
            </w:r>
            <w:r w:rsidR="00E20D64" w:rsidRPr="75B220F3">
              <w:rPr>
                <w:rFonts w:ascii="Arial" w:eastAsia="Arial" w:hAnsi="Arial" w:cs="Arial"/>
                <w:b/>
                <w:bCs/>
                <w:color w:val="000000" w:themeColor="text1"/>
                <w:sz w:val="14"/>
                <w:szCs w:val="14"/>
              </w:rPr>
              <w:t>e)</w:t>
            </w:r>
          </w:p>
        </w:tc>
        <w:tc>
          <w:tcPr>
            <w:tcW w:w="1305" w:type="dxa"/>
            <w:tcBorders>
              <w:top w:val="nil"/>
              <w:left w:val="single" w:sz="6" w:space="0" w:color="auto"/>
              <w:bottom w:val="nil"/>
              <w:right w:val="single" w:sz="6" w:space="0" w:color="auto"/>
            </w:tcBorders>
            <w:tcMar>
              <w:left w:w="60" w:type="dxa"/>
              <w:right w:w="60" w:type="dxa"/>
            </w:tcMar>
            <w:vAlign w:val="center"/>
          </w:tcPr>
          <w:p w14:paraId="27C4D145" w14:textId="1352A892" w:rsidR="00E20D64" w:rsidRPr="006A2EC8" w:rsidRDefault="00E20D64">
            <w:pPr>
              <w:spacing w:line="288" w:lineRule="auto"/>
              <w:jc w:val="right"/>
              <w:rPr>
                <w:rFonts w:ascii="Arial" w:eastAsia="Arial" w:hAnsi="Arial" w:cs="Arial"/>
                <w:color w:val="000000" w:themeColor="text1"/>
                <w:sz w:val="18"/>
                <w:szCs w:val="18"/>
              </w:rPr>
            </w:pPr>
            <w:r w:rsidRPr="006A2EC8">
              <w:rPr>
                <w:rFonts w:ascii="Arial" w:eastAsia="Arial" w:hAnsi="Arial" w:cs="Arial"/>
                <w:b/>
                <w:bCs/>
                <w:color w:val="000000" w:themeColor="text1"/>
                <w:sz w:val="18"/>
                <w:szCs w:val="18"/>
              </w:rPr>
              <w:t>856</w:t>
            </w:r>
            <w:r w:rsidR="00BD3E21">
              <w:rPr>
                <w:rFonts w:ascii="Arial" w:eastAsia="Arial" w:hAnsi="Arial" w:cs="Arial"/>
                <w:b/>
                <w:bCs/>
                <w:color w:val="000000" w:themeColor="text1"/>
                <w:sz w:val="18"/>
                <w:szCs w:val="18"/>
              </w:rPr>
              <w:t>,</w:t>
            </w:r>
            <w:r w:rsidRPr="006A2EC8">
              <w:rPr>
                <w:rFonts w:ascii="Arial" w:eastAsia="Arial" w:hAnsi="Arial" w:cs="Arial"/>
                <w:b/>
                <w:bCs/>
                <w:color w:val="000000" w:themeColor="text1"/>
                <w:sz w:val="18"/>
                <w:szCs w:val="18"/>
              </w:rPr>
              <w:t>5</w:t>
            </w:r>
          </w:p>
        </w:tc>
      </w:tr>
      <w:tr w:rsidR="00E20D64" w14:paraId="4CA2111B" w14:textId="77777777">
        <w:trPr>
          <w:trHeight w:val="300"/>
        </w:trPr>
        <w:tc>
          <w:tcPr>
            <w:tcW w:w="2700" w:type="dxa"/>
            <w:tcBorders>
              <w:top w:val="nil"/>
              <w:left w:val="single" w:sz="6" w:space="0" w:color="auto"/>
              <w:bottom w:val="nil"/>
              <w:right w:val="single" w:sz="6" w:space="0" w:color="auto"/>
            </w:tcBorders>
            <w:tcMar>
              <w:left w:w="60" w:type="dxa"/>
              <w:right w:w="60" w:type="dxa"/>
            </w:tcMar>
            <w:vAlign w:val="center"/>
          </w:tcPr>
          <w:p w14:paraId="5A911EF4" w14:textId="0F14A633" w:rsidR="00E20D64" w:rsidRPr="00981FD3" w:rsidRDefault="00981FD3">
            <w:pPr>
              <w:spacing w:line="288" w:lineRule="auto"/>
              <w:ind w:left="218"/>
              <w:rPr>
                <w:rFonts w:ascii="Arial" w:eastAsia="Arial" w:hAnsi="Arial" w:cs="Arial"/>
                <w:sz w:val="18"/>
                <w:szCs w:val="18"/>
                <w:lang w:val="fr-FR"/>
              </w:rPr>
            </w:pPr>
            <w:proofErr w:type="spellStart"/>
            <w:r w:rsidRPr="00981FD3">
              <w:rPr>
                <w:rFonts w:ascii="Arial" w:eastAsia="Arial" w:hAnsi="Arial" w:cs="Arial"/>
                <w:sz w:val="18"/>
                <w:szCs w:val="18"/>
                <w:lang w:val="fr-FR"/>
              </w:rPr>
              <w:t>Variazione</w:t>
            </w:r>
            <w:proofErr w:type="spellEnd"/>
            <w:r w:rsidRPr="00981FD3">
              <w:rPr>
                <w:rFonts w:ascii="Arial" w:eastAsia="Arial" w:hAnsi="Arial" w:cs="Arial"/>
                <w:sz w:val="18"/>
                <w:szCs w:val="18"/>
                <w:lang w:val="fr-FR"/>
              </w:rPr>
              <w:t xml:space="preserve"> </w:t>
            </w:r>
            <w:proofErr w:type="spellStart"/>
            <w:r w:rsidRPr="00981FD3">
              <w:rPr>
                <w:rFonts w:ascii="Arial" w:eastAsia="Arial" w:hAnsi="Arial" w:cs="Arial"/>
                <w:sz w:val="18"/>
                <w:szCs w:val="18"/>
                <w:lang w:val="fr-FR"/>
              </w:rPr>
              <w:t>dell'area</w:t>
            </w:r>
            <w:proofErr w:type="spellEnd"/>
            <w:r w:rsidRPr="00981FD3">
              <w:rPr>
                <w:rFonts w:ascii="Arial" w:eastAsia="Arial" w:hAnsi="Arial" w:cs="Arial"/>
                <w:sz w:val="18"/>
                <w:szCs w:val="18"/>
                <w:lang w:val="fr-FR"/>
              </w:rPr>
              <w:t xml:space="preserve"> di </w:t>
            </w:r>
            <w:proofErr w:type="spellStart"/>
            <w:r w:rsidRPr="00981FD3">
              <w:rPr>
                <w:rFonts w:ascii="Arial" w:eastAsia="Arial" w:hAnsi="Arial" w:cs="Arial"/>
                <w:sz w:val="18"/>
                <w:szCs w:val="18"/>
                <w:lang w:val="fr-FR"/>
              </w:rPr>
              <w:t>consolidamento</w:t>
            </w:r>
            <w:proofErr w:type="spellEnd"/>
          </w:p>
        </w:tc>
        <w:tc>
          <w:tcPr>
            <w:tcW w:w="1545" w:type="dxa"/>
            <w:tcBorders>
              <w:top w:val="nil"/>
              <w:left w:val="single" w:sz="6" w:space="0" w:color="auto"/>
              <w:bottom w:val="nil"/>
              <w:right w:val="single" w:sz="6" w:space="0" w:color="auto"/>
            </w:tcBorders>
            <w:tcMar>
              <w:left w:w="60" w:type="dxa"/>
              <w:right w:w="60" w:type="dxa"/>
            </w:tcMar>
            <w:vAlign w:val="center"/>
          </w:tcPr>
          <w:p w14:paraId="0C5D5009" w14:textId="5C8B2F01" w:rsidR="00E20D64" w:rsidRDefault="00865570">
            <w:pPr>
              <w:spacing w:line="288" w:lineRule="auto"/>
              <w:jc w:val="center"/>
              <w:rPr>
                <w:rFonts w:ascii="Arial" w:eastAsia="Arial" w:hAnsi="Arial" w:cs="Arial"/>
                <w:color w:val="000000" w:themeColor="text1"/>
                <w:sz w:val="14"/>
                <w:szCs w:val="14"/>
              </w:rPr>
            </w:pPr>
            <w:r>
              <w:rPr>
                <w:rFonts w:ascii="Arial" w:eastAsia="Arial" w:hAnsi="Arial" w:cs="Arial"/>
                <w:color w:val="000000" w:themeColor="text1"/>
                <w:sz w:val="14"/>
                <w:szCs w:val="14"/>
              </w:rPr>
              <w:t>(</w:t>
            </w:r>
            <w:r w:rsidR="00E20D64" w:rsidRPr="75B220F3">
              <w:rPr>
                <w:rFonts w:ascii="Arial" w:eastAsia="Arial" w:hAnsi="Arial" w:cs="Arial"/>
                <w:color w:val="000000" w:themeColor="text1"/>
                <w:sz w:val="14"/>
                <w:szCs w:val="14"/>
              </w:rPr>
              <w:t>g)</w:t>
            </w:r>
          </w:p>
        </w:tc>
        <w:tc>
          <w:tcPr>
            <w:tcW w:w="1305" w:type="dxa"/>
            <w:tcBorders>
              <w:top w:val="nil"/>
              <w:left w:val="single" w:sz="6" w:space="0" w:color="auto"/>
              <w:bottom w:val="nil"/>
              <w:right w:val="single" w:sz="6" w:space="0" w:color="auto"/>
            </w:tcBorders>
            <w:tcMar>
              <w:left w:w="60" w:type="dxa"/>
              <w:right w:w="60" w:type="dxa"/>
            </w:tcMar>
            <w:vAlign w:val="center"/>
          </w:tcPr>
          <w:p w14:paraId="72D41121" w14:textId="24AA0DB4" w:rsidR="00E20D64" w:rsidRDefault="00E20D64">
            <w:pPr>
              <w:spacing w:line="288" w:lineRule="auto"/>
              <w:jc w:val="right"/>
              <w:rPr>
                <w:rFonts w:ascii="Arial" w:eastAsia="Arial" w:hAnsi="Arial" w:cs="Arial"/>
                <w:color w:val="000000" w:themeColor="text1"/>
                <w:sz w:val="18"/>
                <w:szCs w:val="18"/>
              </w:rPr>
            </w:pPr>
            <w:r w:rsidRPr="004B578C">
              <w:rPr>
                <w:rFonts w:ascii="Arial" w:eastAsia="Arial" w:hAnsi="Arial" w:cs="Arial"/>
                <w:color w:val="000000" w:themeColor="text1"/>
                <w:sz w:val="18"/>
                <w:szCs w:val="18"/>
              </w:rPr>
              <w:t>-11</w:t>
            </w:r>
            <w:r w:rsidR="00BD3E21">
              <w:rPr>
                <w:rFonts w:ascii="Arial" w:eastAsia="Arial" w:hAnsi="Arial" w:cs="Arial"/>
                <w:color w:val="000000" w:themeColor="text1"/>
                <w:sz w:val="18"/>
                <w:szCs w:val="18"/>
              </w:rPr>
              <w:t>,</w:t>
            </w:r>
            <w:r w:rsidRPr="004B578C">
              <w:rPr>
                <w:rFonts w:ascii="Arial" w:eastAsia="Arial" w:hAnsi="Arial" w:cs="Arial"/>
                <w:color w:val="000000" w:themeColor="text1"/>
                <w:sz w:val="18"/>
                <w:szCs w:val="18"/>
              </w:rPr>
              <w:t>0</w:t>
            </w:r>
          </w:p>
        </w:tc>
      </w:tr>
      <w:tr w:rsidR="00E20D64" w14:paraId="270AAF26" w14:textId="77777777">
        <w:trPr>
          <w:trHeight w:val="300"/>
        </w:trPr>
        <w:tc>
          <w:tcPr>
            <w:tcW w:w="2700" w:type="dxa"/>
            <w:tcBorders>
              <w:top w:val="nil"/>
              <w:left w:val="single" w:sz="6" w:space="0" w:color="auto"/>
              <w:bottom w:val="single" w:sz="6" w:space="0" w:color="auto"/>
              <w:right w:val="single" w:sz="6" w:space="0" w:color="auto"/>
            </w:tcBorders>
            <w:tcMar>
              <w:left w:w="60" w:type="dxa"/>
              <w:right w:w="60" w:type="dxa"/>
            </w:tcMar>
            <w:vAlign w:val="center"/>
          </w:tcPr>
          <w:p w14:paraId="007704DD" w14:textId="1F505171" w:rsidR="00E20D64" w:rsidRDefault="00421324">
            <w:pPr>
              <w:spacing w:line="288" w:lineRule="auto"/>
              <w:rPr>
                <w:rFonts w:ascii="Arial" w:eastAsia="Arial" w:hAnsi="Arial" w:cs="Arial"/>
                <w:sz w:val="18"/>
                <w:szCs w:val="18"/>
              </w:rPr>
            </w:pPr>
            <w:proofErr w:type="spellStart"/>
            <w:r>
              <w:rPr>
                <w:rFonts w:ascii="Arial" w:eastAsia="Arial" w:hAnsi="Arial" w:cs="Arial"/>
                <w:b/>
                <w:bCs/>
                <w:sz w:val="18"/>
                <w:szCs w:val="18"/>
              </w:rPr>
              <w:t>Fatturato</w:t>
            </w:r>
            <w:proofErr w:type="spellEnd"/>
            <w:r w:rsidRPr="75B220F3">
              <w:rPr>
                <w:rFonts w:ascii="Arial" w:eastAsia="Arial" w:hAnsi="Arial" w:cs="Arial"/>
                <w:b/>
                <w:bCs/>
                <w:sz w:val="18"/>
                <w:szCs w:val="18"/>
              </w:rPr>
              <w:t xml:space="preserve"> </w:t>
            </w:r>
            <w:proofErr w:type="spellStart"/>
            <w:r w:rsidR="00E20D64" w:rsidRPr="75B220F3">
              <w:rPr>
                <w:rFonts w:ascii="Arial" w:eastAsia="Arial" w:hAnsi="Arial" w:cs="Arial"/>
                <w:b/>
                <w:bCs/>
                <w:sz w:val="18"/>
                <w:szCs w:val="18"/>
              </w:rPr>
              <w:t>organic</w:t>
            </w:r>
            <w:r>
              <w:rPr>
                <w:rFonts w:ascii="Arial" w:eastAsia="Arial" w:hAnsi="Arial" w:cs="Arial"/>
                <w:b/>
                <w:bCs/>
                <w:sz w:val="18"/>
                <w:szCs w:val="18"/>
              </w:rPr>
              <w:t>o</w:t>
            </w:r>
            <w:proofErr w:type="spellEnd"/>
            <w:r w:rsidR="00E20D64" w:rsidRPr="75B220F3">
              <w:rPr>
                <w:rFonts w:ascii="Arial" w:eastAsia="Arial" w:hAnsi="Arial" w:cs="Arial"/>
                <w:b/>
                <w:bCs/>
                <w:sz w:val="18"/>
                <w:szCs w:val="18"/>
              </w:rPr>
              <w:t xml:space="preserve"> 2025</w:t>
            </w:r>
          </w:p>
        </w:tc>
        <w:tc>
          <w:tcPr>
            <w:tcW w:w="1545" w:type="dxa"/>
            <w:tcBorders>
              <w:top w:val="nil"/>
              <w:left w:val="single" w:sz="6" w:space="0" w:color="auto"/>
              <w:bottom w:val="single" w:sz="6" w:space="0" w:color="auto"/>
              <w:right w:val="single" w:sz="6" w:space="0" w:color="auto"/>
            </w:tcBorders>
            <w:tcMar>
              <w:left w:w="60" w:type="dxa"/>
              <w:right w:w="60" w:type="dxa"/>
            </w:tcMar>
            <w:vAlign w:val="center"/>
          </w:tcPr>
          <w:p w14:paraId="710253C5" w14:textId="77777777" w:rsidR="00E20D64" w:rsidRDefault="00E20D64">
            <w:pPr>
              <w:spacing w:line="288" w:lineRule="auto"/>
              <w:jc w:val="center"/>
              <w:rPr>
                <w:rFonts w:ascii="Arial" w:eastAsia="Arial" w:hAnsi="Arial" w:cs="Arial"/>
                <w:color w:val="000000" w:themeColor="text1"/>
                <w:sz w:val="14"/>
                <w:szCs w:val="14"/>
              </w:rPr>
            </w:pPr>
            <w:r w:rsidRPr="75B220F3">
              <w:rPr>
                <w:rFonts w:ascii="Arial" w:eastAsia="Arial" w:hAnsi="Arial" w:cs="Arial"/>
                <w:b/>
                <w:bCs/>
                <w:color w:val="000000" w:themeColor="text1"/>
                <w:sz w:val="14"/>
                <w:szCs w:val="14"/>
              </w:rPr>
              <w:t>(h) = (f) + (g)</w:t>
            </w:r>
          </w:p>
        </w:tc>
        <w:tc>
          <w:tcPr>
            <w:tcW w:w="1305" w:type="dxa"/>
            <w:tcBorders>
              <w:top w:val="nil"/>
              <w:left w:val="single" w:sz="6" w:space="0" w:color="auto"/>
              <w:bottom w:val="single" w:sz="6" w:space="0" w:color="auto"/>
              <w:right w:val="single" w:sz="6" w:space="0" w:color="auto"/>
            </w:tcBorders>
            <w:tcMar>
              <w:left w:w="60" w:type="dxa"/>
              <w:right w:w="60" w:type="dxa"/>
            </w:tcMar>
            <w:vAlign w:val="center"/>
          </w:tcPr>
          <w:p w14:paraId="0154A355" w14:textId="64E65FB0" w:rsidR="00E20D64" w:rsidRDefault="00E20D64">
            <w:pPr>
              <w:spacing w:line="288" w:lineRule="auto"/>
              <w:jc w:val="right"/>
              <w:rPr>
                <w:rFonts w:ascii="Arial" w:eastAsia="Arial" w:hAnsi="Arial" w:cs="Arial"/>
                <w:color w:val="000000" w:themeColor="text1"/>
                <w:sz w:val="18"/>
                <w:szCs w:val="18"/>
              </w:rPr>
            </w:pPr>
            <w:r w:rsidRPr="001643C2">
              <w:rPr>
                <w:rFonts w:ascii="Arial" w:eastAsia="Arial" w:hAnsi="Arial" w:cs="Arial"/>
                <w:b/>
                <w:bCs/>
                <w:color w:val="000000" w:themeColor="text1"/>
                <w:sz w:val="18"/>
                <w:szCs w:val="18"/>
              </w:rPr>
              <w:t>845</w:t>
            </w:r>
            <w:r w:rsidR="00BD3E21">
              <w:rPr>
                <w:rFonts w:ascii="Arial" w:eastAsia="Arial" w:hAnsi="Arial" w:cs="Arial"/>
                <w:b/>
                <w:bCs/>
                <w:color w:val="000000" w:themeColor="text1"/>
                <w:sz w:val="18"/>
                <w:szCs w:val="18"/>
              </w:rPr>
              <w:t>,</w:t>
            </w:r>
            <w:r w:rsidRPr="001643C2">
              <w:rPr>
                <w:rFonts w:ascii="Arial" w:eastAsia="Arial" w:hAnsi="Arial" w:cs="Arial"/>
                <w:b/>
                <w:bCs/>
                <w:color w:val="000000" w:themeColor="text1"/>
                <w:sz w:val="18"/>
                <w:szCs w:val="18"/>
              </w:rPr>
              <w:t>5</w:t>
            </w:r>
          </w:p>
        </w:tc>
      </w:tr>
      <w:tr w:rsidR="00E20D64" w14:paraId="3ACDF985" w14:textId="77777777">
        <w:trPr>
          <w:trHeight w:val="300"/>
        </w:trPr>
        <w:tc>
          <w:tcPr>
            <w:tcW w:w="2700" w:type="dxa"/>
            <w:tcBorders>
              <w:top w:val="single" w:sz="6" w:space="0" w:color="auto"/>
              <w:left w:val="nil"/>
              <w:bottom w:val="single" w:sz="6" w:space="0" w:color="auto"/>
              <w:right w:val="nil"/>
            </w:tcBorders>
            <w:tcMar>
              <w:left w:w="60" w:type="dxa"/>
              <w:right w:w="60" w:type="dxa"/>
            </w:tcMar>
            <w:vAlign w:val="center"/>
          </w:tcPr>
          <w:p w14:paraId="5FEE1248" w14:textId="77777777" w:rsidR="00E20D64" w:rsidRDefault="00E20D64">
            <w:pPr>
              <w:spacing w:line="288" w:lineRule="auto"/>
              <w:rPr>
                <w:rFonts w:ascii="Arial" w:eastAsia="Arial" w:hAnsi="Arial" w:cs="Arial"/>
                <w:sz w:val="12"/>
                <w:szCs w:val="12"/>
              </w:rPr>
            </w:pPr>
          </w:p>
        </w:tc>
        <w:tc>
          <w:tcPr>
            <w:tcW w:w="1545" w:type="dxa"/>
            <w:tcBorders>
              <w:top w:val="single" w:sz="6" w:space="0" w:color="auto"/>
              <w:left w:val="nil"/>
              <w:bottom w:val="single" w:sz="6" w:space="0" w:color="auto"/>
              <w:right w:val="nil"/>
            </w:tcBorders>
            <w:tcMar>
              <w:left w:w="60" w:type="dxa"/>
              <w:right w:w="60" w:type="dxa"/>
            </w:tcMar>
            <w:vAlign w:val="center"/>
          </w:tcPr>
          <w:p w14:paraId="4B403274" w14:textId="77777777" w:rsidR="00E20D64" w:rsidRDefault="00E20D64">
            <w:pPr>
              <w:spacing w:line="288" w:lineRule="auto"/>
              <w:jc w:val="center"/>
              <w:rPr>
                <w:rFonts w:ascii="Arial" w:eastAsia="Arial" w:hAnsi="Arial" w:cs="Arial"/>
                <w:sz w:val="12"/>
                <w:szCs w:val="12"/>
              </w:rPr>
            </w:pPr>
          </w:p>
        </w:tc>
        <w:tc>
          <w:tcPr>
            <w:tcW w:w="1305" w:type="dxa"/>
            <w:tcBorders>
              <w:top w:val="single" w:sz="6" w:space="0" w:color="auto"/>
              <w:left w:val="nil"/>
              <w:bottom w:val="single" w:sz="6" w:space="0" w:color="auto"/>
              <w:right w:val="nil"/>
            </w:tcBorders>
            <w:tcMar>
              <w:left w:w="60" w:type="dxa"/>
              <w:right w:w="60" w:type="dxa"/>
            </w:tcMar>
            <w:vAlign w:val="center"/>
          </w:tcPr>
          <w:p w14:paraId="78DC69A6" w14:textId="77777777" w:rsidR="00E20D64" w:rsidRDefault="00E20D64">
            <w:pPr>
              <w:spacing w:line="288" w:lineRule="auto"/>
              <w:jc w:val="right"/>
              <w:rPr>
                <w:rFonts w:ascii="Arial" w:eastAsia="Arial" w:hAnsi="Arial" w:cs="Arial"/>
                <w:sz w:val="12"/>
                <w:szCs w:val="12"/>
              </w:rPr>
            </w:pPr>
          </w:p>
        </w:tc>
      </w:tr>
      <w:tr w:rsidR="00E20D64" w14:paraId="06C3D0FF" w14:textId="77777777">
        <w:trPr>
          <w:trHeight w:val="300"/>
        </w:trPr>
        <w:tc>
          <w:tcPr>
            <w:tcW w:w="270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AEA32AB" w14:textId="77777777" w:rsidR="00E20D64" w:rsidRDefault="00E20D64">
            <w:pPr>
              <w:spacing w:line="288" w:lineRule="auto"/>
              <w:rPr>
                <w:rFonts w:ascii="Arial" w:eastAsia="Arial" w:hAnsi="Arial" w:cs="Arial"/>
                <w:sz w:val="18"/>
                <w:szCs w:val="18"/>
              </w:rPr>
            </w:pPr>
            <w:proofErr w:type="spellStart"/>
            <w:r w:rsidRPr="75B220F3">
              <w:rPr>
                <w:rFonts w:ascii="Arial" w:eastAsia="Arial" w:hAnsi="Arial" w:cs="Arial"/>
                <w:b/>
                <w:bCs/>
                <w:sz w:val="18"/>
                <w:szCs w:val="18"/>
              </w:rPr>
              <w:t>Crescita</w:t>
            </w:r>
            <w:proofErr w:type="spellEnd"/>
            <w:r w:rsidRPr="75B220F3">
              <w:rPr>
                <w:rFonts w:ascii="Arial" w:eastAsia="Arial" w:hAnsi="Arial" w:cs="Arial"/>
                <w:b/>
                <w:bCs/>
                <w:sz w:val="18"/>
                <w:szCs w:val="18"/>
              </w:rPr>
              <w:t xml:space="preserve"> </w:t>
            </w:r>
            <w:proofErr w:type="spellStart"/>
            <w:r w:rsidRPr="75B220F3">
              <w:rPr>
                <w:rFonts w:ascii="Arial" w:eastAsia="Arial" w:hAnsi="Arial" w:cs="Arial"/>
                <w:b/>
                <w:bCs/>
                <w:sz w:val="18"/>
                <w:szCs w:val="18"/>
              </w:rPr>
              <w:t>organica</w:t>
            </w:r>
            <w:proofErr w:type="spellEnd"/>
          </w:p>
        </w:tc>
        <w:tc>
          <w:tcPr>
            <w:tcW w:w="154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A68B4F" w14:textId="77777777" w:rsidR="00E20D64" w:rsidRDefault="00E20D64">
            <w:pPr>
              <w:spacing w:line="288" w:lineRule="auto"/>
              <w:jc w:val="center"/>
              <w:rPr>
                <w:rFonts w:ascii="Arial" w:eastAsia="Arial" w:hAnsi="Arial" w:cs="Arial"/>
                <w:sz w:val="14"/>
                <w:szCs w:val="14"/>
              </w:rPr>
            </w:pPr>
            <w:r w:rsidRPr="75B220F3">
              <w:rPr>
                <w:rFonts w:ascii="Arial" w:eastAsia="Arial" w:hAnsi="Arial" w:cs="Arial"/>
                <w:b/>
                <w:bCs/>
                <w:sz w:val="14"/>
                <w:szCs w:val="14"/>
              </w:rPr>
              <w:t>(</w:t>
            </w:r>
            <w:proofErr w:type="spellStart"/>
            <w:r w:rsidRPr="75B220F3">
              <w:rPr>
                <w:rFonts w:ascii="Arial" w:eastAsia="Arial" w:hAnsi="Arial" w:cs="Arial"/>
                <w:b/>
                <w:bCs/>
                <w:sz w:val="14"/>
                <w:szCs w:val="14"/>
              </w:rPr>
              <w:t>i</w:t>
            </w:r>
            <w:proofErr w:type="spellEnd"/>
            <w:r w:rsidRPr="75B220F3">
              <w:rPr>
                <w:rFonts w:ascii="Arial" w:eastAsia="Arial" w:hAnsi="Arial" w:cs="Arial"/>
                <w:b/>
                <w:bCs/>
                <w:sz w:val="14"/>
                <w:szCs w:val="14"/>
              </w:rPr>
              <w:t>) = (h) / (a) - 1</w:t>
            </w:r>
          </w:p>
        </w:tc>
        <w:tc>
          <w:tcPr>
            <w:tcW w:w="13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13B3096" w14:textId="00B98B9F" w:rsidR="00E20D64" w:rsidRDefault="00847250">
            <w:pPr>
              <w:spacing w:line="288" w:lineRule="auto"/>
              <w:jc w:val="right"/>
              <w:rPr>
                <w:rFonts w:ascii="Arial" w:eastAsia="Arial" w:hAnsi="Arial" w:cs="Arial"/>
                <w:sz w:val="18"/>
                <w:szCs w:val="18"/>
              </w:rPr>
            </w:pPr>
            <w:r>
              <w:rPr>
                <w:rFonts w:ascii="Arial" w:eastAsia="Arial" w:hAnsi="Arial" w:cs="Arial"/>
                <w:b/>
                <w:bCs/>
                <w:sz w:val="18"/>
                <w:szCs w:val="18"/>
              </w:rPr>
              <w:t>+5,</w:t>
            </w:r>
            <w:r w:rsidR="00E20D64" w:rsidRPr="00D2438E">
              <w:rPr>
                <w:rFonts w:ascii="Arial" w:eastAsia="Arial" w:hAnsi="Arial" w:cs="Arial"/>
                <w:b/>
                <w:bCs/>
                <w:sz w:val="18"/>
                <w:szCs w:val="18"/>
              </w:rPr>
              <w:t>5%</w:t>
            </w:r>
          </w:p>
        </w:tc>
      </w:tr>
    </w:tbl>
    <w:p w14:paraId="21358CB2" w14:textId="77777777" w:rsidR="00E20D64" w:rsidRDefault="00E20D64" w:rsidP="00E20D64">
      <w:pPr>
        <w:ind w:left="1134"/>
        <w:jc w:val="both"/>
        <w:rPr>
          <w:rFonts w:ascii="Arial" w:eastAsia="Arial" w:hAnsi="Arial" w:cs="Arial"/>
          <w:color w:val="000000" w:themeColor="text1"/>
          <w:sz w:val="18"/>
          <w:szCs w:val="18"/>
          <w:lang w:val="en-US"/>
        </w:rPr>
      </w:pPr>
    </w:p>
    <w:tbl>
      <w:tblPr>
        <w:tblW w:w="0" w:type="auto"/>
        <w:tblInd w:w="112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10"/>
        <w:gridCol w:w="2205"/>
      </w:tblGrid>
      <w:tr w:rsidR="00E20D64" w:rsidRPr="00AF5A4D" w14:paraId="7773F873" w14:textId="77777777">
        <w:trPr>
          <w:trHeight w:val="300"/>
        </w:trPr>
        <w:tc>
          <w:tcPr>
            <w:tcW w:w="261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635C23" w14:textId="7774A595" w:rsidR="00E20D64" w:rsidRDefault="00847250">
            <w:pPr>
              <w:jc w:val="center"/>
              <w:rPr>
                <w:rFonts w:ascii="Arial" w:eastAsia="Arial" w:hAnsi="Arial" w:cs="Arial"/>
                <w:sz w:val="18"/>
                <w:szCs w:val="18"/>
              </w:rPr>
            </w:pPr>
            <w:r>
              <w:rPr>
                <w:rFonts w:ascii="Arial" w:eastAsia="Arial" w:hAnsi="Arial" w:cs="Arial"/>
                <w:sz w:val="18"/>
                <w:szCs w:val="18"/>
              </w:rPr>
              <w:t>m</w:t>
            </w:r>
            <w:r w:rsidR="00E20D64" w:rsidRPr="75B220F3">
              <w:rPr>
                <w:rFonts w:ascii="Arial" w:eastAsia="Arial" w:hAnsi="Arial" w:cs="Arial"/>
                <w:sz w:val="18"/>
                <w:szCs w:val="18"/>
              </w:rPr>
              <w:t>€</w:t>
            </w:r>
          </w:p>
        </w:tc>
        <w:tc>
          <w:tcPr>
            <w:tcW w:w="22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4D26B87" w14:textId="63A3C538" w:rsidR="00E20D64" w:rsidRPr="00AD6945" w:rsidRDefault="00E20D64">
            <w:pPr>
              <w:jc w:val="right"/>
              <w:rPr>
                <w:rFonts w:ascii="Arial" w:eastAsia="Arial" w:hAnsi="Arial" w:cs="Arial"/>
                <w:sz w:val="16"/>
                <w:szCs w:val="16"/>
                <w:lang w:val="it-IT"/>
              </w:rPr>
            </w:pPr>
            <w:r w:rsidRPr="00AD6945">
              <w:rPr>
                <w:rFonts w:ascii="Arial" w:eastAsia="Arial" w:hAnsi="Arial" w:cs="Arial"/>
                <w:b/>
                <w:bCs/>
                <w:sz w:val="16"/>
                <w:szCs w:val="16"/>
                <w:lang w:val="it-IT"/>
              </w:rPr>
              <w:t xml:space="preserve">Impatto dei </w:t>
            </w:r>
            <w:r w:rsidR="00847250" w:rsidRPr="00AD6945">
              <w:rPr>
                <w:rFonts w:ascii="Arial" w:eastAsia="Arial" w:hAnsi="Arial" w:cs="Arial"/>
                <w:b/>
                <w:bCs/>
                <w:sz w:val="16"/>
                <w:szCs w:val="16"/>
                <w:lang w:val="it-IT"/>
              </w:rPr>
              <w:t xml:space="preserve">tassi di cambio </w:t>
            </w:r>
            <w:r w:rsidRPr="00AD6945">
              <w:rPr>
                <w:rFonts w:ascii="Arial" w:eastAsia="Arial" w:hAnsi="Arial" w:cs="Arial"/>
                <w:b/>
                <w:bCs/>
                <w:sz w:val="16"/>
                <w:szCs w:val="16"/>
                <w:lang w:val="it-IT"/>
              </w:rPr>
              <w:t>al 31 marzo 2025</w:t>
            </w:r>
          </w:p>
        </w:tc>
      </w:tr>
      <w:tr w:rsidR="00E20D64" w:rsidRPr="00AF5A4D" w14:paraId="26718B41" w14:textId="77777777">
        <w:trPr>
          <w:trHeight w:val="300"/>
        </w:trPr>
        <w:tc>
          <w:tcPr>
            <w:tcW w:w="2610" w:type="dxa"/>
            <w:tcBorders>
              <w:top w:val="single" w:sz="6" w:space="0" w:color="auto"/>
              <w:left w:val="nil"/>
              <w:bottom w:val="single" w:sz="6" w:space="0" w:color="auto"/>
              <w:right w:val="nil"/>
            </w:tcBorders>
            <w:tcMar>
              <w:left w:w="60" w:type="dxa"/>
              <w:right w:w="60" w:type="dxa"/>
            </w:tcMar>
            <w:vAlign w:val="center"/>
          </w:tcPr>
          <w:p w14:paraId="370F4EE3" w14:textId="77777777" w:rsidR="00E20D64" w:rsidRPr="00AD6945" w:rsidRDefault="00E20D64">
            <w:pPr>
              <w:rPr>
                <w:rFonts w:ascii="Arial" w:eastAsia="Arial" w:hAnsi="Arial" w:cs="Arial"/>
                <w:sz w:val="12"/>
                <w:szCs w:val="12"/>
                <w:lang w:val="it-IT"/>
              </w:rPr>
            </w:pPr>
          </w:p>
        </w:tc>
        <w:tc>
          <w:tcPr>
            <w:tcW w:w="2205" w:type="dxa"/>
            <w:tcBorders>
              <w:top w:val="single" w:sz="6" w:space="0" w:color="auto"/>
              <w:left w:val="nil"/>
              <w:bottom w:val="single" w:sz="6" w:space="0" w:color="auto"/>
              <w:right w:val="nil"/>
            </w:tcBorders>
            <w:tcMar>
              <w:left w:w="60" w:type="dxa"/>
              <w:right w:w="60" w:type="dxa"/>
            </w:tcMar>
            <w:vAlign w:val="center"/>
          </w:tcPr>
          <w:p w14:paraId="61521EB9" w14:textId="77777777" w:rsidR="00E20D64" w:rsidRPr="00AD6945" w:rsidRDefault="00E20D64">
            <w:pPr>
              <w:rPr>
                <w:rFonts w:ascii="Arial" w:eastAsia="Arial" w:hAnsi="Arial" w:cs="Arial"/>
                <w:sz w:val="12"/>
                <w:szCs w:val="12"/>
                <w:lang w:val="it-IT"/>
              </w:rPr>
            </w:pPr>
          </w:p>
        </w:tc>
      </w:tr>
      <w:tr w:rsidR="00E20D64" w14:paraId="334A1A1C" w14:textId="77777777">
        <w:trPr>
          <w:trHeight w:val="300"/>
        </w:trPr>
        <w:tc>
          <w:tcPr>
            <w:tcW w:w="2610" w:type="dxa"/>
            <w:tcBorders>
              <w:top w:val="single" w:sz="6" w:space="0" w:color="auto"/>
              <w:left w:val="single" w:sz="6" w:space="0" w:color="auto"/>
              <w:bottom w:val="nil"/>
              <w:right w:val="single" w:sz="6" w:space="0" w:color="auto"/>
            </w:tcBorders>
            <w:tcMar>
              <w:left w:w="60" w:type="dxa"/>
              <w:right w:w="60" w:type="dxa"/>
            </w:tcMar>
            <w:vAlign w:val="center"/>
          </w:tcPr>
          <w:p w14:paraId="6CF8139A" w14:textId="77777777" w:rsidR="00E20D64" w:rsidRDefault="00E20D64">
            <w:pPr>
              <w:rPr>
                <w:rFonts w:ascii="Arial" w:eastAsia="Arial" w:hAnsi="Arial" w:cs="Arial"/>
                <w:sz w:val="18"/>
                <w:szCs w:val="18"/>
              </w:rPr>
            </w:pPr>
            <w:r>
              <w:rPr>
                <w:rFonts w:ascii="Arial" w:eastAsia="Arial" w:hAnsi="Arial" w:cs="Arial"/>
                <w:sz w:val="18"/>
                <w:szCs w:val="18"/>
              </w:rPr>
              <w:t>BRL</w:t>
            </w:r>
          </w:p>
        </w:tc>
        <w:tc>
          <w:tcPr>
            <w:tcW w:w="2205" w:type="dxa"/>
            <w:tcBorders>
              <w:top w:val="single" w:sz="6" w:space="0" w:color="auto"/>
              <w:left w:val="single" w:sz="6" w:space="0" w:color="auto"/>
              <w:bottom w:val="nil"/>
              <w:right w:val="single" w:sz="6" w:space="0" w:color="auto"/>
            </w:tcBorders>
            <w:tcMar>
              <w:left w:w="60" w:type="dxa"/>
              <w:right w:w="60" w:type="dxa"/>
            </w:tcMar>
            <w:vAlign w:val="center"/>
          </w:tcPr>
          <w:p w14:paraId="0414F6BB" w14:textId="38482CC6" w:rsidR="00E20D64" w:rsidRDefault="00E20D64">
            <w:pPr>
              <w:jc w:val="right"/>
              <w:rPr>
                <w:rFonts w:ascii="Arial" w:eastAsia="Arial" w:hAnsi="Arial" w:cs="Arial"/>
                <w:sz w:val="18"/>
                <w:szCs w:val="18"/>
              </w:rPr>
            </w:pPr>
            <w:r>
              <w:rPr>
                <w:rFonts w:ascii="Arial" w:eastAsia="Arial" w:hAnsi="Arial" w:cs="Arial"/>
                <w:sz w:val="18"/>
                <w:szCs w:val="18"/>
              </w:rPr>
              <w:t>3</w:t>
            </w:r>
            <w:r w:rsidR="00847250">
              <w:rPr>
                <w:rFonts w:ascii="Arial" w:eastAsia="Arial" w:hAnsi="Arial" w:cs="Arial"/>
                <w:sz w:val="18"/>
                <w:szCs w:val="18"/>
              </w:rPr>
              <w:t>,</w:t>
            </w:r>
            <w:r>
              <w:rPr>
                <w:rFonts w:ascii="Arial" w:eastAsia="Arial" w:hAnsi="Arial" w:cs="Arial"/>
                <w:sz w:val="18"/>
                <w:szCs w:val="18"/>
              </w:rPr>
              <w:t>9</w:t>
            </w:r>
          </w:p>
        </w:tc>
      </w:tr>
      <w:tr w:rsidR="00E20D64" w14:paraId="672FFFF3" w14:textId="77777777">
        <w:trPr>
          <w:trHeight w:val="300"/>
        </w:trPr>
        <w:tc>
          <w:tcPr>
            <w:tcW w:w="2610" w:type="dxa"/>
            <w:tcBorders>
              <w:top w:val="nil"/>
              <w:left w:val="single" w:sz="6" w:space="0" w:color="auto"/>
              <w:bottom w:val="nil"/>
              <w:right w:val="single" w:sz="6" w:space="0" w:color="auto"/>
            </w:tcBorders>
            <w:tcMar>
              <w:left w:w="60" w:type="dxa"/>
              <w:right w:w="60" w:type="dxa"/>
            </w:tcMar>
            <w:vAlign w:val="center"/>
          </w:tcPr>
          <w:p w14:paraId="3CD86429" w14:textId="77777777" w:rsidR="00E20D64" w:rsidRDefault="00E20D64">
            <w:pPr>
              <w:rPr>
                <w:rFonts w:ascii="Arial" w:eastAsia="Arial" w:hAnsi="Arial" w:cs="Arial"/>
                <w:sz w:val="18"/>
                <w:szCs w:val="18"/>
              </w:rPr>
            </w:pPr>
            <w:r>
              <w:rPr>
                <w:rFonts w:ascii="Arial" w:eastAsia="Arial" w:hAnsi="Arial" w:cs="Arial"/>
                <w:sz w:val="18"/>
                <w:szCs w:val="18"/>
              </w:rPr>
              <w:t>MXN</w:t>
            </w:r>
          </w:p>
        </w:tc>
        <w:tc>
          <w:tcPr>
            <w:tcW w:w="2205" w:type="dxa"/>
            <w:tcBorders>
              <w:top w:val="nil"/>
              <w:left w:val="single" w:sz="6" w:space="0" w:color="auto"/>
              <w:bottom w:val="nil"/>
              <w:right w:val="single" w:sz="6" w:space="0" w:color="auto"/>
            </w:tcBorders>
            <w:tcMar>
              <w:left w:w="60" w:type="dxa"/>
              <w:right w:w="60" w:type="dxa"/>
            </w:tcMar>
            <w:vAlign w:val="center"/>
          </w:tcPr>
          <w:p w14:paraId="54875761" w14:textId="13BB342F" w:rsidR="00E20D64" w:rsidRDefault="00E20D64">
            <w:pPr>
              <w:jc w:val="right"/>
              <w:rPr>
                <w:rFonts w:ascii="Arial" w:eastAsia="Arial" w:hAnsi="Arial" w:cs="Arial"/>
                <w:sz w:val="18"/>
                <w:szCs w:val="18"/>
              </w:rPr>
            </w:pPr>
            <w:r>
              <w:rPr>
                <w:rFonts w:ascii="Arial" w:eastAsia="Arial" w:hAnsi="Arial" w:cs="Arial"/>
                <w:sz w:val="18"/>
                <w:szCs w:val="18"/>
              </w:rPr>
              <w:t>1</w:t>
            </w:r>
            <w:r w:rsidR="00847250">
              <w:rPr>
                <w:rFonts w:ascii="Arial" w:eastAsia="Arial" w:hAnsi="Arial" w:cs="Arial"/>
                <w:sz w:val="18"/>
                <w:szCs w:val="18"/>
              </w:rPr>
              <w:t>,</w:t>
            </w:r>
            <w:r>
              <w:rPr>
                <w:rFonts w:ascii="Arial" w:eastAsia="Arial" w:hAnsi="Arial" w:cs="Arial"/>
                <w:sz w:val="18"/>
                <w:szCs w:val="18"/>
              </w:rPr>
              <w:t>6</w:t>
            </w:r>
          </w:p>
        </w:tc>
      </w:tr>
      <w:tr w:rsidR="00E20D64" w14:paraId="058CA710" w14:textId="77777777">
        <w:trPr>
          <w:trHeight w:val="300"/>
        </w:trPr>
        <w:tc>
          <w:tcPr>
            <w:tcW w:w="2610" w:type="dxa"/>
            <w:tcBorders>
              <w:top w:val="nil"/>
              <w:left w:val="single" w:sz="6" w:space="0" w:color="auto"/>
              <w:bottom w:val="nil"/>
              <w:right w:val="single" w:sz="6" w:space="0" w:color="auto"/>
            </w:tcBorders>
            <w:tcMar>
              <w:left w:w="60" w:type="dxa"/>
              <w:right w:w="60" w:type="dxa"/>
            </w:tcMar>
            <w:vAlign w:val="center"/>
          </w:tcPr>
          <w:p w14:paraId="377AF3B5" w14:textId="77777777" w:rsidR="00E20D64" w:rsidRDefault="00E20D64">
            <w:pPr>
              <w:rPr>
                <w:rFonts w:ascii="Arial" w:eastAsia="Arial" w:hAnsi="Arial" w:cs="Arial"/>
                <w:sz w:val="18"/>
                <w:szCs w:val="18"/>
              </w:rPr>
            </w:pPr>
            <w:r w:rsidRPr="75B220F3">
              <w:rPr>
                <w:rFonts w:ascii="Arial" w:eastAsia="Arial" w:hAnsi="Arial" w:cs="Arial"/>
                <w:sz w:val="18"/>
                <w:szCs w:val="18"/>
              </w:rPr>
              <w:t>GBP</w:t>
            </w:r>
          </w:p>
        </w:tc>
        <w:tc>
          <w:tcPr>
            <w:tcW w:w="2205" w:type="dxa"/>
            <w:tcBorders>
              <w:top w:val="nil"/>
              <w:left w:val="single" w:sz="6" w:space="0" w:color="auto"/>
              <w:bottom w:val="nil"/>
              <w:right w:val="single" w:sz="6" w:space="0" w:color="auto"/>
            </w:tcBorders>
            <w:tcMar>
              <w:left w:w="60" w:type="dxa"/>
              <w:right w:w="60" w:type="dxa"/>
            </w:tcMar>
            <w:vAlign w:val="center"/>
          </w:tcPr>
          <w:p w14:paraId="02E425D9" w14:textId="61E14A5D" w:rsidR="00E20D64" w:rsidRDefault="00E20D64">
            <w:pPr>
              <w:jc w:val="right"/>
              <w:rPr>
                <w:rFonts w:ascii="Arial" w:eastAsia="Arial" w:hAnsi="Arial" w:cs="Arial"/>
                <w:sz w:val="18"/>
                <w:szCs w:val="18"/>
              </w:rPr>
            </w:pPr>
            <w:r w:rsidRPr="00EF11CC">
              <w:rPr>
                <w:rFonts w:ascii="Arial" w:eastAsia="Arial" w:hAnsi="Arial" w:cs="Arial"/>
                <w:sz w:val="18"/>
                <w:szCs w:val="18"/>
              </w:rPr>
              <w:t>-2</w:t>
            </w:r>
            <w:r w:rsidR="00847250">
              <w:rPr>
                <w:rFonts w:ascii="Arial" w:eastAsia="Arial" w:hAnsi="Arial" w:cs="Arial"/>
                <w:sz w:val="18"/>
                <w:szCs w:val="18"/>
              </w:rPr>
              <w:t>,</w:t>
            </w:r>
            <w:r w:rsidRPr="00EF11CC">
              <w:rPr>
                <w:rFonts w:ascii="Arial" w:eastAsia="Arial" w:hAnsi="Arial" w:cs="Arial"/>
                <w:sz w:val="18"/>
                <w:szCs w:val="18"/>
              </w:rPr>
              <w:t>3</w:t>
            </w:r>
          </w:p>
        </w:tc>
      </w:tr>
      <w:tr w:rsidR="00E20D64" w14:paraId="36CFF87F" w14:textId="77777777">
        <w:trPr>
          <w:trHeight w:val="300"/>
        </w:trPr>
        <w:tc>
          <w:tcPr>
            <w:tcW w:w="2610" w:type="dxa"/>
            <w:tcBorders>
              <w:top w:val="nil"/>
              <w:left w:val="single" w:sz="6" w:space="0" w:color="auto"/>
              <w:bottom w:val="nil"/>
              <w:right w:val="single" w:sz="6" w:space="0" w:color="auto"/>
            </w:tcBorders>
            <w:tcMar>
              <w:left w:w="60" w:type="dxa"/>
              <w:right w:w="60" w:type="dxa"/>
            </w:tcMar>
            <w:vAlign w:val="center"/>
          </w:tcPr>
          <w:p w14:paraId="7FF1D140" w14:textId="77777777" w:rsidR="00E20D64" w:rsidRDefault="00E20D64">
            <w:pPr>
              <w:rPr>
                <w:rFonts w:ascii="Arial" w:eastAsia="Arial" w:hAnsi="Arial" w:cs="Arial"/>
                <w:sz w:val="18"/>
                <w:szCs w:val="18"/>
              </w:rPr>
            </w:pPr>
            <w:r>
              <w:rPr>
                <w:rFonts w:ascii="Arial" w:eastAsia="Arial" w:hAnsi="Arial" w:cs="Arial"/>
                <w:sz w:val="18"/>
                <w:szCs w:val="18"/>
              </w:rPr>
              <w:t>USD</w:t>
            </w:r>
          </w:p>
        </w:tc>
        <w:tc>
          <w:tcPr>
            <w:tcW w:w="2205" w:type="dxa"/>
            <w:tcBorders>
              <w:top w:val="nil"/>
              <w:left w:val="single" w:sz="6" w:space="0" w:color="auto"/>
              <w:bottom w:val="nil"/>
              <w:right w:val="single" w:sz="6" w:space="0" w:color="auto"/>
            </w:tcBorders>
            <w:tcMar>
              <w:left w:w="60" w:type="dxa"/>
              <w:right w:w="60" w:type="dxa"/>
            </w:tcMar>
            <w:vAlign w:val="center"/>
          </w:tcPr>
          <w:p w14:paraId="7AF57D2C" w14:textId="52FE367E" w:rsidR="00E20D64" w:rsidRDefault="00E20D64">
            <w:pPr>
              <w:jc w:val="right"/>
              <w:rPr>
                <w:rFonts w:ascii="Arial" w:eastAsia="Arial" w:hAnsi="Arial" w:cs="Arial"/>
                <w:sz w:val="18"/>
                <w:szCs w:val="18"/>
              </w:rPr>
            </w:pPr>
            <w:r w:rsidRPr="00EF11CC">
              <w:rPr>
                <w:rFonts w:ascii="Arial" w:eastAsia="Arial" w:hAnsi="Arial" w:cs="Arial"/>
                <w:sz w:val="18"/>
                <w:szCs w:val="18"/>
              </w:rPr>
              <w:t>-1</w:t>
            </w:r>
            <w:r w:rsidR="00847250">
              <w:rPr>
                <w:rFonts w:ascii="Arial" w:eastAsia="Arial" w:hAnsi="Arial" w:cs="Arial"/>
                <w:sz w:val="18"/>
                <w:szCs w:val="18"/>
              </w:rPr>
              <w:t>,</w:t>
            </w:r>
            <w:r w:rsidRPr="00EF11CC">
              <w:rPr>
                <w:rFonts w:ascii="Arial" w:eastAsia="Arial" w:hAnsi="Arial" w:cs="Arial"/>
                <w:sz w:val="18"/>
                <w:szCs w:val="18"/>
              </w:rPr>
              <w:t>9</w:t>
            </w:r>
          </w:p>
        </w:tc>
      </w:tr>
      <w:tr w:rsidR="00E20D64" w14:paraId="136CD3E9" w14:textId="77777777">
        <w:trPr>
          <w:trHeight w:val="300"/>
        </w:trPr>
        <w:tc>
          <w:tcPr>
            <w:tcW w:w="2610" w:type="dxa"/>
            <w:tcBorders>
              <w:top w:val="nil"/>
              <w:left w:val="single" w:sz="6" w:space="0" w:color="auto"/>
              <w:bottom w:val="nil"/>
              <w:right w:val="single" w:sz="6" w:space="0" w:color="auto"/>
            </w:tcBorders>
            <w:tcMar>
              <w:left w:w="60" w:type="dxa"/>
              <w:right w:w="60" w:type="dxa"/>
            </w:tcMar>
            <w:vAlign w:val="center"/>
          </w:tcPr>
          <w:p w14:paraId="637CEF2F" w14:textId="3A5FD685" w:rsidR="00E20D64" w:rsidRDefault="00AA2129">
            <w:pPr>
              <w:rPr>
                <w:rFonts w:ascii="Arial" w:eastAsia="Arial" w:hAnsi="Arial" w:cs="Arial"/>
                <w:sz w:val="18"/>
                <w:szCs w:val="18"/>
              </w:rPr>
            </w:pPr>
            <w:r w:rsidRPr="00DB4AD2">
              <w:rPr>
                <w:rFonts w:ascii="Arial" w:hAnsi="Arial"/>
                <w:sz w:val="18"/>
              </w:rPr>
              <w:t>Altro</w:t>
            </w:r>
          </w:p>
        </w:tc>
        <w:tc>
          <w:tcPr>
            <w:tcW w:w="2205" w:type="dxa"/>
            <w:tcBorders>
              <w:top w:val="nil"/>
              <w:left w:val="single" w:sz="6" w:space="0" w:color="auto"/>
              <w:bottom w:val="nil"/>
              <w:right w:val="single" w:sz="6" w:space="0" w:color="auto"/>
            </w:tcBorders>
            <w:tcMar>
              <w:left w:w="60" w:type="dxa"/>
              <w:right w:w="60" w:type="dxa"/>
            </w:tcMar>
            <w:vAlign w:val="center"/>
          </w:tcPr>
          <w:p w14:paraId="4AF0D01D" w14:textId="4D98C58F" w:rsidR="00E20D64" w:rsidRDefault="00E20D64">
            <w:pPr>
              <w:jc w:val="right"/>
              <w:rPr>
                <w:rFonts w:ascii="Arial" w:eastAsia="Arial" w:hAnsi="Arial" w:cs="Arial"/>
                <w:sz w:val="18"/>
                <w:szCs w:val="18"/>
              </w:rPr>
            </w:pPr>
            <w:r w:rsidRPr="0840CDB8">
              <w:rPr>
                <w:rFonts w:ascii="Arial" w:eastAsia="Arial" w:hAnsi="Arial" w:cs="Arial"/>
                <w:sz w:val="18"/>
                <w:szCs w:val="18"/>
              </w:rPr>
              <w:t>-2</w:t>
            </w:r>
            <w:r w:rsidR="00847250">
              <w:rPr>
                <w:rFonts w:ascii="Arial" w:eastAsia="Arial" w:hAnsi="Arial" w:cs="Arial"/>
                <w:sz w:val="18"/>
                <w:szCs w:val="18"/>
              </w:rPr>
              <w:t>,</w:t>
            </w:r>
            <w:r w:rsidRPr="0840CDB8">
              <w:rPr>
                <w:rFonts w:ascii="Arial" w:eastAsia="Arial" w:hAnsi="Arial" w:cs="Arial"/>
                <w:sz w:val="18"/>
                <w:szCs w:val="18"/>
              </w:rPr>
              <w:t>8</w:t>
            </w:r>
          </w:p>
        </w:tc>
      </w:tr>
      <w:tr w:rsidR="00E20D64" w14:paraId="680956EC" w14:textId="77777777">
        <w:trPr>
          <w:trHeight w:val="300"/>
        </w:trPr>
        <w:tc>
          <w:tcPr>
            <w:tcW w:w="2610" w:type="dxa"/>
            <w:tcBorders>
              <w:top w:val="single" w:sz="6" w:space="0" w:color="auto"/>
              <w:left w:val="nil"/>
              <w:bottom w:val="single" w:sz="6" w:space="0" w:color="auto"/>
              <w:right w:val="nil"/>
            </w:tcBorders>
            <w:tcMar>
              <w:left w:w="60" w:type="dxa"/>
              <w:right w:w="60" w:type="dxa"/>
            </w:tcMar>
            <w:vAlign w:val="center"/>
          </w:tcPr>
          <w:p w14:paraId="510A5049" w14:textId="77777777" w:rsidR="00E20D64" w:rsidRDefault="00E20D64">
            <w:pPr>
              <w:rPr>
                <w:rFonts w:ascii="Arial" w:eastAsia="Arial" w:hAnsi="Arial" w:cs="Arial"/>
                <w:sz w:val="12"/>
                <w:szCs w:val="12"/>
              </w:rPr>
            </w:pPr>
          </w:p>
        </w:tc>
        <w:tc>
          <w:tcPr>
            <w:tcW w:w="2205" w:type="dxa"/>
            <w:tcBorders>
              <w:top w:val="single" w:sz="6" w:space="0" w:color="auto"/>
              <w:left w:val="nil"/>
              <w:bottom w:val="single" w:sz="6" w:space="0" w:color="auto"/>
              <w:right w:val="nil"/>
            </w:tcBorders>
            <w:tcMar>
              <w:left w:w="60" w:type="dxa"/>
              <w:right w:w="60" w:type="dxa"/>
            </w:tcMar>
            <w:vAlign w:val="center"/>
          </w:tcPr>
          <w:p w14:paraId="13B6D4AB" w14:textId="77777777" w:rsidR="00E20D64" w:rsidRDefault="00E20D64">
            <w:pPr>
              <w:rPr>
                <w:rFonts w:ascii="Arial" w:eastAsia="Arial" w:hAnsi="Arial" w:cs="Arial"/>
                <w:sz w:val="12"/>
                <w:szCs w:val="12"/>
              </w:rPr>
            </w:pPr>
          </w:p>
        </w:tc>
      </w:tr>
      <w:tr w:rsidR="00E20D64" w14:paraId="6C37A7C3" w14:textId="77777777">
        <w:trPr>
          <w:trHeight w:val="300"/>
        </w:trPr>
        <w:tc>
          <w:tcPr>
            <w:tcW w:w="261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587B6B" w14:textId="77777777" w:rsidR="00E20D64" w:rsidRDefault="00E20D64">
            <w:pPr>
              <w:rPr>
                <w:rFonts w:ascii="Arial" w:eastAsia="Arial" w:hAnsi="Arial" w:cs="Arial"/>
                <w:sz w:val="18"/>
                <w:szCs w:val="18"/>
              </w:rPr>
            </w:pPr>
            <w:proofErr w:type="spellStart"/>
            <w:r w:rsidRPr="75B220F3">
              <w:rPr>
                <w:rFonts w:ascii="Arial" w:eastAsia="Arial" w:hAnsi="Arial" w:cs="Arial"/>
                <w:b/>
                <w:bCs/>
                <w:sz w:val="18"/>
                <w:szCs w:val="18"/>
              </w:rPr>
              <w:t>Totale</w:t>
            </w:r>
            <w:proofErr w:type="spellEnd"/>
          </w:p>
        </w:tc>
        <w:tc>
          <w:tcPr>
            <w:tcW w:w="22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2838FFC" w14:textId="09B57D05" w:rsidR="00E20D64" w:rsidRDefault="00E20D64">
            <w:pPr>
              <w:jc w:val="right"/>
              <w:rPr>
                <w:rFonts w:ascii="Arial" w:eastAsia="Arial" w:hAnsi="Arial" w:cs="Arial"/>
                <w:sz w:val="18"/>
                <w:szCs w:val="18"/>
              </w:rPr>
            </w:pPr>
            <w:r>
              <w:rPr>
                <w:rFonts w:ascii="Arial" w:eastAsia="Arial" w:hAnsi="Arial" w:cs="Arial"/>
                <w:b/>
                <w:bCs/>
                <w:sz w:val="18"/>
                <w:szCs w:val="18"/>
              </w:rPr>
              <w:t>-1</w:t>
            </w:r>
            <w:r w:rsidR="00525869">
              <w:rPr>
                <w:rFonts w:ascii="Arial" w:eastAsia="Arial" w:hAnsi="Arial" w:cs="Arial"/>
                <w:b/>
                <w:bCs/>
                <w:sz w:val="18"/>
                <w:szCs w:val="18"/>
              </w:rPr>
              <w:t>,</w:t>
            </w:r>
            <w:r>
              <w:rPr>
                <w:rFonts w:ascii="Arial" w:eastAsia="Arial" w:hAnsi="Arial" w:cs="Arial"/>
                <w:b/>
                <w:bCs/>
                <w:sz w:val="18"/>
                <w:szCs w:val="18"/>
              </w:rPr>
              <w:t>5</w:t>
            </w:r>
          </w:p>
        </w:tc>
      </w:tr>
    </w:tbl>
    <w:p w14:paraId="2E2BCF4A" w14:textId="77777777" w:rsidR="00E20D64" w:rsidRDefault="00E20D64" w:rsidP="00E20D64">
      <w:pPr>
        <w:ind w:left="1134"/>
        <w:jc w:val="both"/>
        <w:rPr>
          <w:rFonts w:ascii="Arial" w:eastAsia="Arial" w:hAnsi="Arial" w:cs="Arial"/>
          <w:color w:val="000000" w:themeColor="text1"/>
          <w:sz w:val="18"/>
          <w:szCs w:val="18"/>
          <w:lang w:val="en-US"/>
        </w:rPr>
      </w:pPr>
    </w:p>
    <w:tbl>
      <w:tblPr>
        <w:tblW w:w="0" w:type="auto"/>
        <w:tblInd w:w="112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70"/>
        <w:gridCol w:w="1275"/>
        <w:gridCol w:w="1275"/>
      </w:tblGrid>
      <w:tr w:rsidR="00E20D64" w14:paraId="64597FDF" w14:textId="77777777">
        <w:trPr>
          <w:trHeight w:val="300"/>
        </w:trPr>
        <w:tc>
          <w:tcPr>
            <w:tcW w:w="267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BC0FA4" w14:textId="77777777" w:rsidR="00E20D64" w:rsidRDefault="00E20D64">
            <w:pPr>
              <w:jc w:val="center"/>
              <w:rPr>
                <w:rFonts w:ascii="Arial" w:eastAsia="Arial" w:hAnsi="Arial" w:cs="Arial"/>
                <w:sz w:val="18"/>
                <w:szCs w:val="18"/>
              </w:rPr>
            </w:pPr>
            <w:r w:rsidRPr="75B220F3">
              <w:rPr>
                <w:rFonts w:ascii="Arial" w:eastAsia="Arial" w:hAnsi="Arial" w:cs="Arial"/>
                <w:sz w:val="18"/>
                <w:szCs w:val="18"/>
              </w:rPr>
              <w:t xml:space="preserve">Tasso di </w:t>
            </w:r>
            <w:proofErr w:type="spellStart"/>
            <w:r w:rsidRPr="75B220F3">
              <w:rPr>
                <w:rFonts w:ascii="Arial" w:eastAsia="Arial" w:hAnsi="Arial" w:cs="Arial"/>
                <w:sz w:val="18"/>
                <w:szCs w:val="18"/>
              </w:rPr>
              <w:t>cambio</w:t>
            </w:r>
            <w:proofErr w:type="spellEnd"/>
            <w:r w:rsidRPr="75B220F3">
              <w:rPr>
                <w:rFonts w:ascii="Arial" w:eastAsia="Arial" w:hAnsi="Arial" w:cs="Arial"/>
                <w:sz w:val="18"/>
                <w:szCs w:val="18"/>
              </w:rPr>
              <w:t xml:space="preserve"> medio</w:t>
            </w:r>
          </w:p>
        </w:tc>
        <w:tc>
          <w:tcPr>
            <w:tcW w:w="12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6B0E48B" w14:textId="77777777" w:rsidR="00E20D64" w:rsidRDefault="00E20D64">
            <w:pPr>
              <w:jc w:val="right"/>
              <w:rPr>
                <w:rFonts w:ascii="Arial" w:eastAsia="Arial" w:hAnsi="Arial" w:cs="Arial"/>
                <w:sz w:val="18"/>
                <w:szCs w:val="18"/>
              </w:rPr>
            </w:pPr>
            <w:r w:rsidRPr="75B220F3">
              <w:rPr>
                <w:rFonts w:ascii="Arial" w:eastAsia="Arial" w:hAnsi="Arial" w:cs="Arial"/>
                <w:b/>
                <w:bCs/>
                <w:sz w:val="18"/>
                <w:szCs w:val="18"/>
              </w:rPr>
              <w:t>T1 2025</w:t>
            </w:r>
          </w:p>
        </w:tc>
        <w:tc>
          <w:tcPr>
            <w:tcW w:w="127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B3C536E" w14:textId="77777777" w:rsidR="00E20D64" w:rsidRDefault="00E20D64">
            <w:pPr>
              <w:jc w:val="right"/>
              <w:rPr>
                <w:rFonts w:ascii="Arial" w:eastAsia="Arial" w:hAnsi="Arial" w:cs="Arial"/>
                <w:sz w:val="18"/>
                <w:szCs w:val="18"/>
              </w:rPr>
            </w:pPr>
            <w:r w:rsidRPr="75B220F3">
              <w:rPr>
                <w:rFonts w:ascii="Arial" w:eastAsia="Arial" w:hAnsi="Arial" w:cs="Arial"/>
                <w:b/>
                <w:bCs/>
                <w:sz w:val="18"/>
                <w:szCs w:val="18"/>
              </w:rPr>
              <w:t>T1 2024</w:t>
            </w:r>
          </w:p>
        </w:tc>
      </w:tr>
      <w:tr w:rsidR="00E20D64" w14:paraId="567C2B44" w14:textId="77777777">
        <w:trPr>
          <w:trHeight w:val="300"/>
        </w:trPr>
        <w:tc>
          <w:tcPr>
            <w:tcW w:w="2670" w:type="dxa"/>
            <w:tcBorders>
              <w:top w:val="single" w:sz="6" w:space="0" w:color="auto"/>
              <w:left w:val="nil"/>
              <w:bottom w:val="single" w:sz="6" w:space="0" w:color="auto"/>
              <w:right w:val="nil"/>
            </w:tcBorders>
            <w:tcMar>
              <w:left w:w="60" w:type="dxa"/>
              <w:right w:w="60" w:type="dxa"/>
            </w:tcMar>
            <w:vAlign w:val="center"/>
          </w:tcPr>
          <w:p w14:paraId="588B70D7" w14:textId="77777777" w:rsidR="00E20D64" w:rsidRDefault="00E20D64">
            <w:pPr>
              <w:rPr>
                <w:rFonts w:ascii="Arial" w:eastAsia="Arial" w:hAnsi="Arial" w:cs="Arial"/>
                <w:sz w:val="12"/>
                <w:szCs w:val="12"/>
              </w:rPr>
            </w:pPr>
          </w:p>
        </w:tc>
        <w:tc>
          <w:tcPr>
            <w:tcW w:w="1275" w:type="dxa"/>
            <w:tcBorders>
              <w:top w:val="single" w:sz="6" w:space="0" w:color="auto"/>
              <w:left w:val="nil"/>
              <w:bottom w:val="single" w:sz="6" w:space="0" w:color="auto"/>
              <w:right w:val="nil"/>
            </w:tcBorders>
            <w:tcMar>
              <w:left w:w="60" w:type="dxa"/>
              <w:right w:w="60" w:type="dxa"/>
            </w:tcMar>
            <w:vAlign w:val="center"/>
          </w:tcPr>
          <w:p w14:paraId="7874D858" w14:textId="77777777" w:rsidR="00E20D64" w:rsidRDefault="00E20D64">
            <w:pPr>
              <w:rPr>
                <w:rFonts w:ascii="Arial" w:eastAsia="Arial" w:hAnsi="Arial" w:cs="Arial"/>
                <w:sz w:val="12"/>
                <w:szCs w:val="12"/>
              </w:rPr>
            </w:pPr>
          </w:p>
        </w:tc>
        <w:tc>
          <w:tcPr>
            <w:tcW w:w="1275" w:type="dxa"/>
            <w:tcBorders>
              <w:top w:val="single" w:sz="6" w:space="0" w:color="auto"/>
              <w:left w:val="nil"/>
              <w:bottom w:val="single" w:sz="6" w:space="0" w:color="auto"/>
              <w:right w:val="nil"/>
            </w:tcBorders>
            <w:tcMar>
              <w:left w:w="60" w:type="dxa"/>
              <w:right w:w="60" w:type="dxa"/>
            </w:tcMar>
            <w:vAlign w:val="center"/>
          </w:tcPr>
          <w:p w14:paraId="359CABEB" w14:textId="77777777" w:rsidR="00E20D64" w:rsidRDefault="00E20D64">
            <w:pPr>
              <w:rPr>
                <w:rFonts w:ascii="Arial" w:eastAsia="Arial" w:hAnsi="Arial" w:cs="Arial"/>
                <w:sz w:val="12"/>
                <w:szCs w:val="12"/>
              </w:rPr>
            </w:pPr>
          </w:p>
        </w:tc>
      </w:tr>
      <w:tr w:rsidR="00E20D64" w14:paraId="2F68BE4D" w14:textId="77777777">
        <w:trPr>
          <w:trHeight w:val="300"/>
        </w:trPr>
        <w:tc>
          <w:tcPr>
            <w:tcW w:w="2670" w:type="dxa"/>
            <w:tcBorders>
              <w:top w:val="single" w:sz="6" w:space="0" w:color="auto"/>
              <w:left w:val="single" w:sz="6" w:space="0" w:color="auto"/>
              <w:bottom w:val="nil"/>
              <w:right w:val="single" w:sz="6" w:space="0" w:color="auto"/>
            </w:tcBorders>
            <w:tcMar>
              <w:left w:w="60" w:type="dxa"/>
              <w:right w:w="60" w:type="dxa"/>
            </w:tcMar>
            <w:vAlign w:val="center"/>
          </w:tcPr>
          <w:p w14:paraId="7494A1D2" w14:textId="77777777" w:rsidR="00E20D64" w:rsidRDefault="00E20D64">
            <w:pPr>
              <w:rPr>
                <w:rFonts w:ascii="Arial" w:eastAsia="Arial" w:hAnsi="Arial" w:cs="Arial"/>
                <w:sz w:val="18"/>
                <w:szCs w:val="18"/>
              </w:rPr>
            </w:pPr>
            <w:r>
              <w:rPr>
                <w:rFonts w:ascii="Arial" w:eastAsia="Arial" w:hAnsi="Arial" w:cs="Arial"/>
                <w:sz w:val="18"/>
                <w:szCs w:val="18"/>
              </w:rPr>
              <w:t>BRL</w:t>
            </w:r>
          </w:p>
        </w:tc>
        <w:tc>
          <w:tcPr>
            <w:tcW w:w="1275" w:type="dxa"/>
            <w:tcBorders>
              <w:top w:val="single" w:sz="6" w:space="0" w:color="auto"/>
              <w:left w:val="single" w:sz="6" w:space="0" w:color="auto"/>
              <w:bottom w:val="nil"/>
              <w:right w:val="single" w:sz="6" w:space="0" w:color="auto"/>
            </w:tcBorders>
            <w:tcMar>
              <w:left w:w="60" w:type="dxa"/>
              <w:right w:w="60" w:type="dxa"/>
            </w:tcMar>
            <w:vAlign w:val="center"/>
          </w:tcPr>
          <w:p w14:paraId="0510F87E" w14:textId="4827F408" w:rsidR="00E20D64" w:rsidRDefault="00E20D64">
            <w:pPr>
              <w:jc w:val="right"/>
              <w:rPr>
                <w:rFonts w:ascii="Arial" w:eastAsia="Arial" w:hAnsi="Arial" w:cs="Arial"/>
                <w:sz w:val="18"/>
                <w:szCs w:val="18"/>
              </w:rPr>
            </w:pPr>
            <w:r>
              <w:rPr>
                <w:rFonts w:ascii="Arial" w:eastAsia="Arial" w:hAnsi="Arial" w:cs="Arial"/>
                <w:sz w:val="18"/>
                <w:szCs w:val="18"/>
              </w:rPr>
              <w:t>0</w:t>
            </w:r>
            <w:r w:rsidR="00847250">
              <w:rPr>
                <w:rFonts w:ascii="Arial" w:eastAsia="Arial" w:hAnsi="Arial" w:cs="Arial"/>
                <w:sz w:val="18"/>
                <w:szCs w:val="18"/>
              </w:rPr>
              <w:t>,</w:t>
            </w:r>
            <w:r>
              <w:rPr>
                <w:rFonts w:ascii="Arial" w:eastAsia="Arial" w:hAnsi="Arial" w:cs="Arial"/>
                <w:sz w:val="18"/>
                <w:szCs w:val="18"/>
              </w:rPr>
              <w:t>1621</w:t>
            </w:r>
          </w:p>
        </w:tc>
        <w:tc>
          <w:tcPr>
            <w:tcW w:w="1275" w:type="dxa"/>
            <w:tcBorders>
              <w:top w:val="single" w:sz="6" w:space="0" w:color="auto"/>
              <w:left w:val="single" w:sz="6" w:space="0" w:color="auto"/>
              <w:bottom w:val="nil"/>
              <w:right w:val="single" w:sz="6" w:space="0" w:color="auto"/>
            </w:tcBorders>
            <w:tcMar>
              <w:left w:w="60" w:type="dxa"/>
              <w:right w:w="60" w:type="dxa"/>
            </w:tcMar>
            <w:vAlign w:val="center"/>
          </w:tcPr>
          <w:p w14:paraId="7719AF58" w14:textId="042E4D37" w:rsidR="00E20D64" w:rsidRDefault="00E20D64">
            <w:pPr>
              <w:jc w:val="right"/>
              <w:rPr>
                <w:rFonts w:ascii="Arial" w:eastAsia="Arial" w:hAnsi="Arial" w:cs="Arial"/>
                <w:sz w:val="18"/>
                <w:szCs w:val="18"/>
              </w:rPr>
            </w:pPr>
            <w:r w:rsidRPr="75B220F3">
              <w:rPr>
                <w:rFonts w:ascii="Arial" w:eastAsia="Arial" w:hAnsi="Arial" w:cs="Arial"/>
                <w:sz w:val="18"/>
                <w:szCs w:val="18"/>
              </w:rPr>
              <w:t>0</w:t>
            </w:r>
            <w:r w:rsidR="00847250">
              <w:rPr>
                <w:rFonts w:ascii="Arial" w:eastAsia="Arial" w:hAnsi="Arial" w:cs="Arial"/>
                <w:sz w:val="18"/>
                <w:szCs w:val="18"/>
              </w:rPr>
              <w:t>,</w:t>
            </w:r>
            <w:r w:rsidRPr="75B220F3">
              <w:rPr>
                <w:rFonts w:ascii="Arial" w:eastAsia="Arial" w:hAnsi="Arial" w:cs="Arial"/>
                <w:sz w:val="18"/>
                <w:szCs w:val="18"/>
              </w:rPr>
              <w:t>1860</w:t>
            </w:r>
          </w:p>
        </w:tc>
      </w:tr>
      <w:tr w:rsidR="00E20D64" w14:paraId="6EA44B0A" w14:textId="77777777">
        <w:trPr>
          <w:trHeight w:val="300"/>
        </w:trPr>
        <w:tc>
          <w:tcPr>
            <w:tcW w:w="2670" w:type="dxa"/>
            <w:tcBorders>
              <w:top w:val="nil"/>
              <w:left w:val="single" w:sz="6" w:space="0" w:color="auto"/>
              <w:bottom w:val="nil"/>
              <w:right w:val="single" w:sz="6" w:space="0" w:color="auto"/>
            </w:tcBorders>
            <w:tcMar>
              <w:left w:w="60" w:type="dxa"/>
              <w:right w:w="60" w:type="dxa"/>
            </w:tcMar>
            <w:vAlign w:val="center"/>
          </w:tcPr>
          <w:p w14:paraId="60596936" w14:textId="77777777" w:rsidR="00E20D64" w:rsidRDefault="00E20D64">
            <w:pPr>
              <w:rPr>
                <w:rFonts w:ascii="Arial" w:eastAsia="Arial" w:hAnsi="Arial" w:cs="Arial"/>
                <w:sz w:val="18"/>
                <w:szCs w:val="18"/>
              </w:rPr>
            </w:pPr>
            <w:r>
              <w:rPr>
                <w:rFonts w:ascii="Arial" w:eastAsia="Arial" w:hAnsi="Arial" w:cs="Arial"/>
                <w:sz w:val="18"/>
                <w:szCs w:val="18"/>
              </w:rPr>
              <w:t>MXN</w:t>
            </w:r>
          </w:p>
        </w:tc>
        <w:tc>
          <w:tcPr>
            <w:tcW w:w="1275" w:type="dxa"/>
            <w:tcBorders>
              <w:top w:val="nil"/>
              <w:left w:val="single" w:sz="6" w:space="0" w:color="auto"/>
              <w:bottom w:val="nil"/>
              <w:right w:val="single" w:sz="6" w:space="0" w:color="auto"/>
            </w:tcBorders>
            <w:tcMar>
              <w:left w:w="60" w:type="dxa"/>
              <w:right w:w="60" w:type="dxa"/>
            </w:tcMar>
            <w:vAlign w:val="center"/>
          </w:tcPr>
          <w:p w14:paraId="61262344" w14:textId="504C9778" w:rsidR="00E20D64" w:rsidRDefault="00E20D64">
            <w:pPr>
              <w:jc w:val="right"/>
              <w:rPr>
                <w:rFonts w:ascii="Arial" w:eastAsia="Arial" w:hAnsi="Arial" w:cs="Arial"/>
                <w:sz w:val="18"/>
                <w:szCs w:val="18"/>
              </w:rPr>
            </w:pPr>
            <w:r w:rsidRPr="00D50414">
              <w:rPr>
                <w:rFonts w:ascii="Arial" w:eastAsia="Arial" w:hAnsi="Arial" w:cs="Arial"/>
                <w:sz w:val="18"/>
                <w:szCs w:val="18"/>
              </w:rPr>
              <w:t>0</w:t>
            </w:r>
            <w:r w:rsidR="00847250">
              <w:rPr>
                <w:rFonts w:ascii="Arial" w:eastAsia="Arial" w:hAnsi="Arial" w:cs="Arial"/>
                <w:sz w:val="18"/>
                <w:szCs w:val="18"/>
              </w:rPr>
              <w:t>,</w:t>
            </w:r>
            <w:r w:rsidRPr="00D50414">
              <w:rPr>
                <w:rFonts w:ascii="Arial" w:eastAsia="Arial" w:hAnsi="Arial" w:cs="Arial"/>
                <w:sz w:val="18"/>
                <w:szCs w:val="18"/>
              </w:rPr>
              <w:t>0465</w:t>
            </w:r>
          </w:p>
        </w:tc>
        <w:tc>
          <w:tcPr>
            <w:tcW w:w="1275" w:type="dxa"/>
            <w:tcBorders>
              <w:top w:val="nil"/>
              <w:left w:val="single" w:sz="6" w:space="0" w:color="auto"/>
              <w:bottom w:val="nil"/>
              <w:right w:val="single" w:sz="6" w:space="0" w:color="auto"/>
            </w:tcBorders>
            <w:tcMar>
              <w:left w:w="60" w:type="dxa"/>
              <w:right w:w="60" w:type="dxa"/>
            </w:tcMar>
            <w:vAlign w:val="center"/>
          </w:tcPr>
          <w:p w14:paraId="0F23E210" w14:textId="76322D81" w:rsidR="00E20D64" w:rsidRDefault="00E20D64">
            <w:pPr>
              <w:jc w:val="right"/>
              <w:rPr>
                <w:rFonts w:ascii="Arial" w:eastAsia="Arial" w:hAnsi="Arial" w:cs="Arial"/>
                <w:sz w:val="18"/>
                <w:szCs w:val="18"/>
              </w:rPr>
            </w:pPr>
            <w:r w:rsidRPr="75B220F3">
              <w:rPr>
                <w:rFonts w:ascii="Arial" w:eastAsia="Arial" w:hAnsi="Arial" w:cs="Arial"/>
                <w:sz w:val="18"/>
                <w:szCs w:val="18"/>
              </w:rPr>
              <w:t>0</w:t>
            </w:r>
            <w:r w:rsidR="00847250">
              <w:rPr>
                <w:rFonts w:ascii="Arial" w:eastAsia="Arial" w:hAnsi="Arial" w:cs="Arial"/>
                <w:sz w:val="18"/>
                <w:szCs w:val="18"/>
              </w:rPr>
              <w:t>,</w:t>
            </w:r>
            <w:r w:rsidRPr="75B220F3">
              <w:rPr>
                <w:rFonts w:ascii="Arial" w:eastAsia="Arial" w:hAnsi="Arial" w:cs="Arial"/>
                <w:sz w:val="18"/>
                <w:szCs w:val="18"/>
              </w:rPr>
              <w:t>0542</w:t>
            </w:r>
          </w:p>
        </w:tc>
      </w:tr>
      <w:tr w:rsidR="00E20D64" w14:paraId="26B60DFA" w14:textId="77777777">
        <w:trPr>
          <w:trHeight w:val="300"/>
        </w:trPr>
        <w:tc>
          <w:tcPr>
            <w:tcW w:w="2670" w:type="dxa"/>
            <w:tcBorders>
              <w:top w:val="nil"/>
              <w:left w:val="single" w:sz="6" w:space="0" w:color="auto"/>
              <w:bottom w:val="nil"/>
              <w:right w:val="single" w:sz="6" w:space="0" w:color="auto"/>
            </w:tcBorders>
            <w:tcMar>
              <w:left w:w="60" w:type="dxa"/>
              <w:right w:w="60" w:type="dxa"/>
            </w:tcMar>
            <w:vAlign w:val="center"/>
          </w:tcPr>
          <w:p w14:paraId="2FDFA68F" w14:textId="77777777" w:rsidR="00E20D64" w:rsidRDefault="00E20D64">
            <w:pPr>
              <w:rPr>
                <w:rFonts w:ascii="Arial" w:eastAsia="Arial" w:hAnsi="Arial" w:cs="Arial"/>
                <w:sz w:val="18"/>
                <w:szCs w:val="18"/>
              </w:rPr>
            </w:pPr>
            <w:r w:rsidRPr="75B220F3">
              <w:rPr>
                <w:rFonts w:ascii="Arial" w:eastAsia="Arial" w:hAnsi="Arial" w:cs="Arial"/>
                <w:sz w:val="18"/>
                <w:szCs w:val="18"/>
              </w:rPr>
              <w:t>GBP</w:t>
            </w:r>
          </w:p>
        </w:tc>
        <w:tc>
          <w:tcPr>
            <w:tcW w:w="1275" w:type="dxa"/>
            <w:tcBorders>
              <w:top w:val="nil"/>
              <w:left w:val="single" w:sz="6" w:space="0" w:color="auto"/>
              <w:bottom w:val="nil"/>
              <w:right w:val="single" w:sz="6" w:space="0" w:color="auto"/>
            </w:tcBorders>
            <w:tcMar>
              <w:left w:w="60" w:type="dxa"/>
              <w:right w:w="60" w:type="dxa"/>
            </w:tcMar>
            <w:vAlign w:val="center"/>
          </w:tcPr>
          <w:p w14:paraId="32059364" w14:textId="3BFF4329" w:rsidR="00E20D64" w:rsidRDefault="00E20D64">
            <w:pPr>
              <w:jc w:val="right"/>
              <w:rPr>
                <w:rFonts w:ascii="Arial" w:eastAsia="Arial" w:hAnsi="Arial" w:cs="Arial"/>
                <w:sz w:val="18"/>
                <w:szCs w:val="18"/>
              </w:rPr>
            </w:pPr>
            <w:r>
              <w:rPr>
                <w:rFonts w:ascii="Arial" w:eastAsia="Arial" w:hAnsi="Arial" w:cs="Arial"/>
                <w:sz w:val="18"/>
                <w:szCs w:val="18"/>
              </w:rPr>
              <w:t>1</w:t>
            </w:r>
            <w:r w:rsidR="00847250">
              <w:rPr>
                <w:rFonts w:ascii="Arial" w:eastAsia="Arial" w:hAnsi="Arial" w:cs="Arial"/>
                <w:sz w:val="18"/>
                <w:szCs w:val="18"/>
              </w:rPr>
              <w:t>,</w:t>
            </w:r>
            <w:r>
              <w:rPr>
                <w:rFonts w:ascii="Arial" w:eastAsia="Arial" w:hAnsi="Arial" w:cs="Arial"/>
                <w:sz w:val="18"/>
                <w:szCs w:val="18"/>
              </w:rPr>
              <w:t>1967</w:t>
            </w:r>
          </w:p>
        </w:tc>
        <w:tc>
          <w:tcPr>
            <w:tcW w:w="1275" w:type="dxa"/>
            <w:tcBorders>
              <w:top w:val="nil"/>
              <w:left w:val="single" w:sz="6" w:space="0" w:color="auto"/>
              <w:bottom w:val="nil"/>
              <w:right w:val="single" w:sz="6" w:space="0" w:color="auto"/>
            </w:tcBorders>
            <w:tcMar>
              <w:left w:w="60" w:type="dxa"/>
              <w:right w:w="60" w:type="dxa"/>
            </w:tcMar>
            <w:vAlign w:val="center"/>
          </w:tcPr>
          <w:p w14:paraId="1AF43C32" w14:textId="2A7E3CCB" w:rsidR="00E20D64" w:rsidRDefault="00E20D64">
            <w:pPr>
              <w:jc w:val="right"/>
              <w:rPr>
                <w:rFonts w:ascii="Arial" w:eastAsia="Arial" w:hAnsi="Arial" w:cs="Arial"/>
                <w:sz w:val="18"/>
                <w:szCs w:val="18"/>
              </w:rPr>
            </w:pPr>
            <w:r>
              <w:rPr>
                <w:rFonts w:ascii="Arial" w:eastAsia="Arial" w:hAnsi="Arial" w:cs="Arial"/>
                <w:sz w:val="18"/>
                <w:szCs w:val="18"/>
              </w:rPr>
              <w:t>1</w:t>
            </w:r>
            <w:r w:rsidR="00847250">
              <w:rPr>
                <w:rFonts w:ascii="Arial" w:eastAsia="Arial" w:hAnsi="Arial" w:cs="Arial"/>
                <w:sz w:val="18"/>
                <w:szCs w:val="18"/>
              </w:rPr>
              <w:t>,</w:t>
            </w:r>
            <w:r>
              <w:rPr>
                <w:rFonts w:ascii="Arial" w:eastAsia="Arial" w:hAnsi="Arial" w:cs="Arial"/>
                <w:sz w:val="18"/>
                <w:szCs w:val="18"/>
              </w:rPr>
              <w:t>1676</w:t>
            </w:r>
          </w:p>
        </w:tc>
      </w:tr>
      <w:tr w:rsidR="00E20D64" w14:paraId="7F6CC42D" w14:textId="77777777">
        <w:trPr>
          <w:trHeight w:val="300"/>
        </w:trPr>
        <w:tc>
          <w:tcPr>
            <w:tcW w:w="2670" w:type="dxa"/>
            <w:tcBorders>
              <w:top w:val="nil"/>
              <w:left w:val="single" w:sz="6" w:space="0" w:color="auto"/>
              <w:bottom w:val="single" w:sz="6" w:space="0" w:color="auto"/>
              <w:right w:val="single" w:sz="6" w:space="0" w:color="auto"/>
            </w:tcBorders>
            <w:tcMar>
              <w:left w:w="60" w:type="dxa"/>
              <w:right w:w="60" w:type="dxa"/>
            </w:tcMar>
            <w:vAlign w:val="center"/>
          </w:tcPr>
          <w:p w14:paraId="3142F20F" w14:textId="77777777" w:rsidR="00E20D64" w:rsidRDefault="00E20D64">
            <w:pPr>
              <w:rPr>
                <w:rFonts w:ascii="Arial" w:eastAsia="Arial" w:hAnsi="Arial" w:cs="Arial"/>
                <w:sz w:val="18"/>
                <w:szCs w:val="18"/>
              </w:rPr>
            </w:pPr>
            <w:r>
              <w:rPr>
                <w:rFonts w:ascii="Arial" w:eastAsia="Arial" w:hAnsi="Arial" w:cs="Arial"/>
                <w:sz w:val="18"/>
                <w:szCs w:val="18"/>
              </w:rPr>
              <w:t>USD</w:t>
            </w:r>
          </w:p>
        </w:tc>
        <w:tc>
          <w:tcPr>
            <w:tcW w:w="1275" w:type="dxa"/>
            <w:tcBorders>
              <w:top w:val="nil"/>
              <w:left w:val="single" w:sz="6" w:space="0" w:color="auto"/>
              <w:bottom w:val="single" w:sz="6" w:space="0" w:color="auto"/>
              <w:right w:val="single" w:sz="6" w:space="0" w:color="auto"/>
            </w:tcBorders>
            <w:tcMar>
              <w:left w:w="60" w:type="dxa"/>
              <w:right w:w="60" w:type="dxa"/>
            </w:tcMar>
            <w:vAlign w:val="center"/>
          </w:tcPr>
          <w:p w14:paraId="704CF2CD" w14:textId="377A27E1" w:rsidR="00E20D64" w:rsidRDefault="00E20D64">
            <w:pPr>
              <w:jc w:val="right"/>
              <w:rPr>
                <w:rFonts w:ascii="Arial" w:eastAsia="Arial" w:hAnsi="Arial" w:cs="Arial"/>
                <w:sz w:val="18"/>
                <w:szCs w:val="18"/>
              </w:rPr>
            </w:pPr>
            <w:r>
              <w:rPr>
                <w:rFonts w:ascii="Arial" w:eastAsia="Arial" w:hAnsi="Arial" w:cs="Arial"/>
                <w:sz w:val="18"/>
                <w:szCs w:val="18"/>
              </w:rPr>
              <w:t>0</w:t>
            </w:r>
            <w:r w:rsidR="00847250">
              <w:rPr>
                <w:rFonts w:ascii="Arial" w:eastAsia="Arial" w:hAnsi="Arial" w:cs="Arial"/>
                <w:sz w:val="18"/>
                <w:szCs w:val="18"/>
              </w:rPr>
              <w:t>,</w:t>
            </w:r>
            <w:r>
              <w:rPr>
                <w:rFonts w:ascii="Arial" w:eastAsia="Arial" w:hAnsi="Arial" w:cs="Arial"/>
                <w:sz w:val="18"/>
                <w:szCs w:val="18"/>
              </w:rPr>
              <w:t>9505</w:t>
            </w:r>
          </w:p>
        </w:tc>
        <w:tc>
          <w:tcPr>
            <w:tcW w:w="1275" w:type="dxa"/>
            <w:tcBorders>
              <w:top w:val="nil"/>
              <w:left w:val="single" w:sz="6" w:space="0" w:color="auto"/>
              <w:bottom w:val="single" w:sz="6" w:space="0" w:color="auto"/>
              <w:right w:val="single" w:sz="6" w:space="0" w:color="auto"/>
            </w:tcBorders>
            <w:tcMar>
              <w:left w:w="60" w:type="dxa"/>
              <w:right w:w="60" w:type="dxa"/>
            </w:tcMar>
            <w:vAlign w:val="center"/>
          </w:tcPr>
          <w:p w14:paraId="530B9C01" w14:textId="346F339F" w:rsidR="00E20D64" w:rsidRDefault="00E20D64">
            <w:pPr>
              <w:jc w:val="right"/>
              <w:rPr>
                <w:rFonts w:ascii="Arial" w:eastAsia="Arial" w:hAnsi="Arial" w:cs="Arial"/>
                <w:sz w:val="18"/>
                <w:szCs w:val="18"/>
              </w:rPr>
            </w:pPr>
            <w:r w:rsidRPr="00452F2E">
              <w:rPr>
                <w:rFonts w:ascii="Arial" w:eastAsia="Arial" w:hAnsi="Arial" w:cs="Arial"/>
                <w:sz w:val="18"/>
                <w:szCs w:val="18"/>
              </w:rPr>
              <w:t>0</w:t>
            </w:r>
            <w:r w:rsidR="00847250">
              <w:rPr>
                <w:rFonts w:ascii="Arial" w:eastAsia="Arial" w:hAnsi="Arial" w:cs="Arial"/>
                <w:sz w:val="18"/>
                <w:szCs w:val="18"/>
              </w:rPr>
              <w:t>,</w:t>
            </w:r>
            <w:r w:rsidRPr="00452F2E">
              <w:rPr>
                <w:rFonts w:ascii="Arial" w:eastAsia="Arial" w:hAnsi="Arial" w:cs="Arial"/>
                <w:sz w:val="18"/>
                <w:szCs w:val="18"/>
              </w:rPr>
              <w:t>9208</w:t>
            </w:r>
          </w:p>
        </w:tc>
      </w:tr>
    </w:tbl>
    <w:p w14:paraId="0AAEEF2F" w14:textId="77777777" w:rsidR="00E20D64" w:rsidRDefault="00E20D64" w:rsidP="00E20D64">
      <w:pPr>
        <w:ind w:left="1134"/>
        <w:jc w:val="both"/>
        <w:rPr>
          <w:rFonts w:ascii="Arial" w:eastAsia="Times New Roman" w:hAnsi="Arial" w:cs="Arial"/>
          <w:b/>
          <w:bCs/>
          <w:color w:val="163B5C"/>
          <w:sz w:val="22"/>
          <w:szCs w:val="22"/>
          <w:u w:val="single"/>
          <w:lang w:val="en-US"/>
        </w:rPr>
      </w:pPr>
    </w:p>
    <w:p w14:paraId="741A82DC" w14:textId="77777777" w:rsidR="00E20D64" w:rsidRPr="00235B09" w:rsidRDefault="00E20D64" w:rsidP="00E20D64">
      <w:pPr>
        <w:ind w:left="1134"/>
        <w:rPr>
          <w:rFonts w:ascii="Arial" w:eastAsia="Arial" w:hAnsi="Arial" w:cs="Arial"/>
          <w:color w:val="000000" w:themeColor="text1"/>
          <w:szCs w:val="24"/>
        </w:rPr>
      </w:pPr>
    </w:p>
    <w:p w14:paraId="513C5989" w14:textId="77777777" w:rsidR="0063410C" w:rsidRPr="00DE3802" w:rsidRDefault="0063410C" w:rsidP="007948F6">
      <w:pPr>
        <w:ind w:left="1134"/>
        <w:jc w:val="both"/>
        <w:rPr>
          <w:rFonts w:ascii="Arial" w:eastAsia="PMingLiU" w:hAnsi="Arial" w:cs="Arial"/>
          <w:sz w:val="20"/>
          <w:lang w:val="fr-FR" w:eastAsia="fr-FR" w:bidi="fr-FR"/>
        </w:rPr>
      </w:pPr>
    </w:p>
    <w:sectPr w:rsidR="0063410C" w:rsidRPr="00DE3802" w:rsidSect="00A31A47">
      <w:headerReference w:type="default" r:id="rId22"/>
      <w:footerReference w:type="even" r:id="rId23"/>
      <w:footerReference w:type="default" r:id="rId24"/>
      <w:footerReference w:type="first" r:id="rId25"/>
      <w:pgSz w:w="11906" w:h="16838"/>
      <w:pgMar w:top="1276" w:right="1416" w:bottom="568" w:left="1417"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393F" w14:textId="77777777" w:rsidR="002000DB" w:rsidRDefault="002000DB" w:rsidP="003415C1">
      <w:r>
        <w:separator/>
      </w:r>
    </w:p>
  </w:endnote>
  <w:endnote w:type="continuationSeparator" w:id="0">
    <w:p w14:paraId="1CFF0CA2" w14:textId="77777777" w:rsidR="002000DB" w:rsidRDefault="002000DB" w:rsidP="003415C1">
      <w:r>
        <w:continuationSeparator/>
      </w:r>
    </w:p>
  </w:endnote>
  <w:endnote w:type="continuationNotice" w:id="1">
    <w:p w14:paraId="7B306A1F" w14:textId="77777777" w:rsidR="002000DB" w:rsidRDefault="00200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8706" w14:textId="77777777" w:rsidR="00975571" w:rsidRDefault="00A94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A2CD821" w14:textId="77777777" w:rsidR="00975571" w:rsidRDefault="009755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07AB" w14:textId="77777777" w:rsidR="00975571" w:rsidRPr="00CD0E17" w:rsidRDefault="00A94299" w:rsidP="00E87B15">
    <w:pPr>
      <w:tabs>
        <w:tab w:val="center" w:pos="4536"/>
        <w:tab w:val="right" w:pos="9072"/>
      </w:tabs>
      <w:ind w:right="360"/>
      <w:jc w:val="center"/>
      <w:rPr>
        <w:i/>
        <w:sz w:val="19"/>
        <w:szCs w:val="19"/>
      </w:rPr>
    </w:pPr>
    <w:r w:rsidRPr="00CD0E17">
      <w:rPr>
        <w:i/>
        <w:sz w:val="19"/>
        <w:szCs w:val="19"/>
      </w:rPr>
      <w:fldChar w:fldCharType="begin"/>
    </w:r>
    <w:r w:rsidRPr="00CD0E17">
      <w:rPr>
        <w:i/>
        <w:sz w:val="19"/>
        <w:szCs w:val="19"/>
      </w:rPr>
      <w:instrText xml:space="preserve"> PAGE \*ARABIC </w:instrText>
    </w:r>
    <w:r w:rsidRPr="00CD0E17">
      <w:rPr>
        <w:i/>
        <w:sz w:val="19"/>
        <w:szCs w:val="19"/>
      </w:rPr>
      <w:fldChar w:fldCharType="separate"/>
    </w:r>
    <w:r>
      <w:rPr>
        <w:i/>
        <w:noProof/>
        <w:sz w:val="19"/>
        <w:szCs w:val="19"/>
      </w:rPr>
      <w:t>2</w:t>
    </w:r>
    <w:r w:rsidRPr="00CD0E17">
      <w:rPr>
        <w:i/>
        <w:sz w:val="19"/>
        <w:szCs w:val="19"/>
      </w:rPr>
      <w:fldChar w:fldCharType="end"/>
    </w:r>
    <w:r>
      <w:rPr>
        <w:i/>
        <w:sz w:val="19"/>
      </w:rPr>
      <w:t xml:space="preserve"> -- </w:t>
    </w:r>
  </w:p>
  <w:p w14:paraId="69F2EE2E" w14:textId="77777777" w:rsidR="00975571" w:rsidRDefault="00975571" w:rsidP="00E87B15">
    <w:pPr>
      <w:pStyle w:val="Pidipagina"/>
      <w:ind w:firstLine="1440"/>
    </w:pPr>
  </w:p>
  <w:p w14:paraId="27A84A5B" w14:textId="77777777" w:rsidR="00975571" w:rsidRDefault="0097557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46C3" w14:textId="619BD9EB" w:rsidR="00975571" w:rsidRDefault="00DA3EBC" w:rsidP="00E87B15">
    <w:pPr>
      <w:pStyle w:val="Pidipagina"/>
      <w:ind w:left="1134"/>
    </w:pPr>
    <w:r>
      <w:rPr>
        <w:noProof/>
      </w:rPr>
      <w:drawing>
        <wp:inline distT="0" distB="0" distL="0" distR="0" wp14:anchorId="0E291621" wp14:editId="26C4039A">
          <wp:extent cx="5761355" cy="772594"/>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736"/>
                  <a:stretch/>
                </pic:blipFill>
                <pic:spPr bwMode="auto">
                  <a:xfrm>
                    <a:off x="0" y="0"/>
                    <a:ext cx="5761355" cy="772594"/>
                  </a:xfrm>
                  <a:prstGeom prst="rect">
                    <a:avLst/>
                  </a:prstGeom>
                  <a:noFill/>
                  <a:ln>
                    <a:noFill/>
                  </a:ln>
                  <a:extLst>
                    <a:ext uri="{53640926-AAD7-44D8-BBD7-CCE9431645EC}">
                      <a14:shadowObscured xmlns:a14="http://schemas.microsoft.com/office/drawing/2010/main"/>
                    </a:ext>
                  </a:extLst>
                </pic:spPr>
              </pic:pic>
            </a:graphicData>
          </a:graphic>
        </wp:inline>
      </w:drawing>
    </w:r>
  </w:p>
  <w:p w14:paraId="317A955C" w14:textId="77777777" w:rsidR="00975571" w:rsidRPr="004F6800" w:rsidRDefault="00975571" w:rsidP="00E87B15">
    <w:pPr>
      <w:pStyle w:val="Pidipagina"/>
      <w:ind w:left="1134"/>
      <w:rPr>
        <w:sz w:val="16"/>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39A8" w14:textId="77777777" w:rsidR="002000DB" w:rsidRDefault="002000DB" w:rsidP="003415C1">
      <w:r>
        <w:separator/>
      </w:r>
    </w:p>
  </w:footnote>
  <w:footnote w:type="continuationSeparator" w:id="0">
    <w:p w14:paraId="598C8308" w14:textId="77777777" w:rsidR="002000DB" w:rsidRDefault="002000DB" w:rsidP="003415C1">
      <w:r>
        <w:continuationSeparator/>
      </w:r>
    </w:p>
  </w:footnote>
  <w:footnote w:type="continuationNotice" w:id="1">
    <w:p w14:paraId="4E40C61E" w14:textId="77777777" w:rsidR="002000DB" w:rsidRDefault="00200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9E60" w14:textId="77777777" w:rsidR="00975571" w:rsidRDefault="00A94299" w:rsidP="00E87B15">
    <w:pPr>
      <w:pStyle w:val="Intestazione"/>
      <w:ind w:left="851"/>
    </w:pPr>
    <w:r>
      <w:rPr>
        <w:noProof/>
        <w:lang w:val="fr-FR" w:eastAsia="fr-FR"/>
      </w:rPr>
      <w:drawing>
        <wp:inline distT="0" distB="0" distL="0" distR="0" wp14:anchorId="6BC3152F" wp14:editId="361090DB">
          <wp:extent cx="1980000" cy="93378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CDECAUX P.png"/>
                  <pic:cNvPicPr/>
                </pic:nvPicPr>
                <pic:blipFill>
                  <a:blip r:embed="rId1">
                    <a:extLst>
                      <a:ext uri="{28A0092B-C50C-407E-A947-70E740481C1C}">
                        <a14:useLocalDpi xmlns:a14="http://schemas.microsoft.com/office/drawing/2010/main" val="0"/>
                      </a:ext>
                    </a:extLst>
                  </a:blip>
                  <a:stretch>
                    <a:fillRect/>
                  </a:stretch>
                </pic:blipFill>
                <pic:spPr>
                  <a:xfrm>
                    <a:off x="0" y="0"/>
                    <a:ext cx="1980000" cy="933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21"/>
    <w:lvl w:ilvl="0">
      <w:start w:val="1"/>
      <w:numFmt w:val="decimal"/>
      <w:lvlText w:val="(%1)"/>
      <w:lvlJc w:val="left"/>
      <w:pPr>
        <w:tabs>
          <w:tab w:val="num" w:pos="870"/>
        </w:tabs>
      </w:pPr>
    </w:lvl>
  </w:abstractNum>
  <w:abstractNum w:abstractNumId="1" w15:restartNumberingAfterBreak="0">
    <w:nsid w:val="03155C93"/>
    <w:multiLevelType w:val="hybridMultilevel"/>
    <w:tmpl w:val="82C66102"/>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0EA050A4"/>
    <w:multiLevelType w:val="hybridMultilevel"/>
    <w:tmpl w:val="BCDA8004"/>
    <w:lvl w:ilvl="0" w:tplc="04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1CD1B49"/>
    <w:multiLevelType w:val="hybridMultilevel"/>
    <w:tmpl w:val="CD04BE10"/>
    <w:lvl w:ilvl="0" w:tplc="F3C696AA">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68E005A"/>
    <w:multiLevelType w:val="hybridMultilevel"/>
    <w:tmpl w:val="B3C417E2"/>
    <w:lvl w:ilvl="0" w:tplc="B8006908">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 w15:restartNumberingAfterBreak="0">
    <w:nsid w:val="19D77329"/>
    <w:multiLevelType w:val="hybridMultilevel"/>
    <w:tmpl w:val="8BC45988"/>
    <w:lvl w:ilvl="0" w:tplc="21C01548">
      <w:numFmt w:val="bullet"/>
      <w:lvlText w:val="-"/>
      <w:lvlJc w:val="left"/>
      <w:pPr>
        <w:ind w:left="2615" w:hanging="360"/>
      </w:pPr>
      <w:rPr>
        <w:rFonts w:ascii="Calibri" w:eastAsia="Calibri" w:hAnsi="Calibri" w:cs="Calibri" w:hint="default"/>
        <w:b w:val="0"/>
        <w:bCs w:val="0"/>
        <w:i w:val="0"/>
        <w:iCs w:val="0"/>
        <w:w w:val="99"/>
        <w:sz w:val="20"/>
        <w:szCs w:val="20"/>
      </w:rPr>
    </w:lvl>
    <w:lvl w:ilvl="1" w:tplc="E960CB66">
      <w:numFmt w:val="bullet"/>
      <w:lvlText w:val="•"/>
      <w:lvlJc w:val="left"/>
      <w:pPr>
        <w:ind w:left="3394" w:hanging="360"/>
      </w:pPr>
      <w:rPr>
        <w:rFonts w:hint="default"/>
      </w:rPr>
    </w:lvl>
    <w:lvl w:ilvl="2" w:tplc="95E4DBDA">
      <w:numFmt w:val="bullet"/>
      <w:lvlText w:val="•"/>
      <w:lvlJc w:val="left"/>
      <w:pPr>
        <w:ind w:left="4168" w:hanging="360"/>
      </w:pPr>
      <w:rPr>
        <w:rFonts w:hint="default"/>
      </w:rPr>
    </w:lvl>
    <w:lvl w:ilvl="3" w:tplc="EFD6740A">
      <w:numFmt w:val="bullet"/>
      <w:lvlText w:val="•"/>
      <w:lvlJc w:val="left"/>
      <w:pPr>
        <w:ind w:left="4942" w:hanging="360"/>
      </w:pPr>
      <w:rPr>
        <w:rFonts w:hint="default"/>
      </w:rPr>
    </w:lvl>
    <w:lvl w:ilvl="4" w:tplc="FECA285C">
      <w:numFmt w:val="bullet"/>
      <w:lvlText w:val="•"/>
      <w:lvlJc w:val="left"/>
      <w:pPr>
        <w:ind w:left="5716" w:hanging="360"/>
      </w:pPr>
      <w:rPr>
        <w:rFonts w:hint="default"/>
      </w:rPr>
    </w:lvl>
    <w:lvl w:ilvl="5" w:tplc="B99AC84E">
      <w:numFmt w:val="bullet"/>
      <w:lvlText w:val="•"/>
      <w:lvlJc w:val="left"/>
      <w:pPr>
        <w:ind w:left="6490" w:hanging="360"/>
      </w:pPr>
      <w:rPr>
        <w:rFonts w:hint="default"/>
      </w:rPr>
    </w:lvl>
    <w:lvl w:ilvl="6" w:tplc="CE7AD22A">
      <w:numFmt w:val="bullet"/>
      <w:lvlText w:val="•"/>
      <w:lvlJc w:val="left"/>
      <w:pPr>
        <w:ind w:left="7264" w:hanging="360"/>
      </w:pPr>
      <w:rPr>
        <w:rFonts w:hint="default"/>
      </w:rPr>
    </w:lvl>
    <w:lvl w:ilvl="7" w:tplc="1BF4D198">
      <w:numFmt w:val="bullet"/>
      <w:lvlText w:val="•"/>
      <w:lvlJc w:val="left"/>
      <w:pPr>
        <w:ind w:left="8038" w:hanging="360"/>
      </w:pPr>
      <w:rPr>
        <w:rFonts w:hint="default"/>
      </w:rPr>
    </w:lvl>
    <w:lvl w:ilvl="8" w:tplc="2F44B9FE">
      <w:numFmt w:val="bullet"/>
      <w:lvlText w:val="•"/>
      <w:lvlJc w:val="left"/>
      <w:pPr>
        <w:ind w:left="8812" w:hanging="360"/>
      </w:pPr>
      <w:rPr>
        <w:rFonts w:hint="default"/>
      </w:rPr>
    </w:lvl>
  </w:abstractNum>
  <w:abstractNum w:abstractNumId="6" w15:restartNumberingAfterBreak="0">
    <w:nsid w:val="1F99787A"/>
    <w:multiLevelType w:val="hybridMultilevel"/>
    <w:tmpl w:val="113A45CC"/>
    <w:lvl w:ilvl="0" w:tplc="9A3C8828">
      <w:start w:val="1"/>
      <w:numFmt w:val="bullet"/>
      <w:lvlText w:val="-"/>
      <w:lvlJc w:val="left"/>
      <w:pPr>
        <w:ind w:left="1494" w:hanging="360"/>
      </w:pPr>
      <w:rPr>
        <w:rFonts w:ascii="Arial" w:eastAsia="Arial"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20AE6CA9"/>
    <w:multiLevelType w:val="hybridMultilevel"/>
    <w:tmpl w:val="F500A370"/>
    <w:lvl w:ilvl="0" w:tplc="0A1C3574">
      <w:start w:val="1"/>
      <w:numFmt w:val="lowerLetter"/>
      <w:lvlText w:val="(%1)"/>
      <w:lvlJc w:val="left"/>
      <w:pPr>
        <w:ind w:left="1560" w:hanging="360"/>
      </w:pPr>
    </w:lvl>
    <w:lvl w:ilvl="1" w:tplc="040C0019">
      <w:start w:val="1"/>
      <w:numFmt w:val="lowerLetter"/>
      <w:lvlText w:val="%2."/>
      <w:lvlJc w:val="left"/>
      <w:pPr>
        <w:ind w:left="2280" w:hanging="360"/>
      </w:pPr>
    </w:lvl>
    <w:lvl w:ilvl="2" w:tplc="040C001B">
      <w:start w:val="1"/>
      <w:numFmt w:val="lowerRoman"/>
      <w:lvlText w:val="%3."/>
      <w:lvlJc w:val="right"/>
      <w:pPr>
        <w:ind w:left="3000" w:hanging="180"/>
      </w:pPr>
    </w:lvl>
    <w:lvl w:ilvl="3" w:tplc="040C000F">
      <w:start w:val="1"/>
      <w:numFmt w:val="decimal"/>
      <w:lvlText w:val="%4."/>
      <w:lvlJc w:val="left"/>
      <w:pPr>
        <w:ind w:left="3720" w:hanging="360"/>
      </w:pPr>
    </w:lvl>
    <w:lvl w:ilvl="4" w:tplc="040C0019">
      <w:start w:val="1"/>
      <w:numFmt w:val="lowerLetter"/>
      <w:lvlText w:val="%5."/>
      <w:lvlJc w:val="left"/>
      <w:pPr>
        <w:ind w:left="4440" w:hanging="360"/>
      </w:pPr>
    </w:lvl>
    <w:lvl w:ilvl="5" w:tplc="040C001B">
      <w:start w:val="1"/>
      <w:numFmt w:val="lowerRoman"/>
      <w:lvlText w:val="%6."/>
      <w:lvlJc w:val="right"/>
      <w:pPr>
        <w:ind w:left="5160" w:hanging="180"/>
      </w:pPr>
    </w:lvl>
    <w:lvl w:ilvl="6" w:tplc="040C000F">
      <w:start w:val="1"/>
      <w:numFmt w:val="decimal"/>
      <w:lvlText w:val="%7."/>
      <w:lvlJc w:val="left"/>
      <w:pPr>
        <w:ind w:left="5880" w:hanging="360"/>
      </w:pPr>
    </w:lvl>
    <w:lvl w:ilvl="7" w:tplc="040C0019">
      <w:start w:val="1"/>
      <w:numFmt w:val="lowerLetter"/>
      <w:lvlText w:val="%8."/>
      <w:lvlJc w:val="left"/>
      <w:pPr>
        <w:ind w:left="6600" w:hanging="360"/>
      </w:pPr>
    </w:lvl>
    <w:lvl w:ilvl="8" w:tplc="040C001B">
      <w:start w:val="1"/>
      <w:numFmt w:val="lowerRoman"/>
      <w:lvlText w:val="%9."/>
      <w:lvlJc w:val="right"/>
      <w:pPr>
        <w:ind w:left="7320" w:hanging="180"/>
      </w:pPr>
    </w:lvl>
  </w:abstractNum>
  <w:abstractNum w:abstractNumId="8" w15:restartNumberingAfterBreak="0">
    <w:nsid w:val="21846B88"/>
    <w:multiLevelType w:val="hybridMultilevel"/>
    <w:tmpl w:val="9F88CE0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255441B1"/>
    <w:multiLevelType w:val="hybridMultilevel"/>
    <w:tmpl w:val="E8C8D2E0"/>
    <w:lvl w:ilvl="0" w:tplc="7ABCDEE8">
      <w:start w:val="1"/>
      <w:numFmt w:val="bullet"/>
      <w:lvlText w:val="-"/>
      <w:lvlJc w:val="left"/>
      <w:pPr>
        <w:ind w:left="2976" w:hanging="360"/>
      </w:pPr>
      <w:rPr>
        <w:rFonts w:ascii="Arial" w:eastAsia="Arial" w:hAnsi="Arial" w:cs="Arial" w:hint="default"/>
      </w:rPr>
    </w:lvl>
    <w:lvl w:ilvl="1" w:tplc="040C0003">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0" w15:restartNumberingAfterBreak="0">
    <w:nsid w:val="27BE4FB2"/>
    <w:multiLevelType w:val="hybridMultilevel"/>
    <w:tmpl w:val="1F0A27B0"/>
    <w:lvl w:ilvl="0" w:tplc="FFFFFFFF">
      <w:start w:val="1"/>
      <w:numFmt w:val="bullet"/>
      <w:lvlText w:val="-"/>
      <w:lvlJc w:val="left"/>
      <w:pPr>
        <w:ind w:left="2976" w:hanging="360"/>
      </w:pPr>
      <w:rPr>
        <w:rFonts w:ascii="Arial" w:eastAsia="Arial" w:hAnsi="Arial" w:cs="Arial" w:hint="default"/>
      </w:rPr>
    </w:lvl>
    <w:lvl w:ilvl="1" w:tplc="7ABCDEE8">
      <w:start w:val="1"/>
      <w:numFmt w:val="bullet"/>
      <w:lvlText w:val="-"/>
      <w:lvlJc w:val="left"/>
      <w:pPr>
        <w:ind w:left="1776" w:hanging="360"/>
      </w:pPr>
      <w:rPr>
        <w:rFonts w:ascii="Arial" w:eastAsia="Arial" w:hAnsi="Arial" w:cs="Arial"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11" w15:restartNumberingAfterBreak="0">
    <w:nsid w:val="28963B66"/>
    <w:multiLevelType w:val="hybridMultilevel"/>
    <w:tmpl w:val="B0181418"/>
    <w:lvl w:ilvl="0" w:tplc="B800690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28E2153C"/>
    <w:multiLevelType w:val="hybridMultilevel"/>
    <w:tmpl w:val="305A662C"/>
    <w:lvl w:ilvl="0" w:tplc="0E9A764E">
      <w:start w:val="1"/>
      <w:numFmt w:val="decimal"/>
      <w:lvlText w:val="(%1)"/>
      <w:lvlJc w:val="left"/>
      <w:pPr>
        <w:tabs>
          <w:tab w:val="num" w:pos="1907"/>
        </w:tabs>
        <w:ind w:left="1907" w:hanging="360"/>
      </w:pPr>
      <w:rPr>
        <w:rFonts w:hint="default"/>
        <w:b/>
      </w:rPr>
    </w:lvl>
    <w:lvl w:ilvl="1" w:tplc="03FE894A" w:tentative="1">
      <w:start w:val="1"/>
      <w:numFmt w:val="lowerLetter"/>
      <w:lvlText w:val="%2."/>
      <w:lvlJc w:val="left"/>
      <w:pPr>
        <w:tabs>
          <w:tab w:val="num" w:pos="2627"/>
        </w:tabs>
        <w:ind w:left="2627" w:hanging="360"/>
      </w:pPr>
    </w:lvl>
    <w:lvl w:ilvl="2" w:tplc="60DAE91C" w:tentative="1">
      <w:start w:val="1"/>
      <w:numFmt w:val="lowerRoman"/>
      <w:lvlText w:val="%3."/>
      <w:lvlJc w:val="right"/>
      <w:pPr>
        <w:tabs>
          <w:tab w:val="num" w:pos="3347"/>
        </w:tabs>
        <w:ind w:left="3347" w:hanging="180"/>
      </w:pPr>
    </w:lvl>
    <w:lvl w:ilvl="3" w:tplc="5AB433E0" w:tentative="1">
      <w:start w:val="1"/>
      <w:numFmt w:val="decimal"/>
      <w:lvlText w:val="%4."/>
      <w:lvlJc w:val="left"/>
      <w:pPr>
        <w:tabs>
          <w:tab w:val="num" w:pos="4067"/>
        </w:tabs>
        <w:ind w:left="4067" w:hanging="360"/>
      </w:pPr>
    </w:lvl>
    <w:lvl w:ilvl="4" w:tplc="6EB8F9C6" w:tentative="1">
      <w:start w:val="1"/>
      <w:numFmt w:val="lowerLetter"/>
      <w:lvlText w:val="%5."/>
      <w:lvlJc w:val="left"/>
      <w:pPr>
        <w:tabs>
          <w:tab w:val="num" w:pos="4787"/>
        </w:tabs>
        <w:ind w:left="4787" w:hanging="360"/>
      </w:pPr>
    </w:lvl>
    <w:lvl w:ilvl="5" w:tplc="B58657EA" w:tentative="1">
      <w:start w:val="1"/>
      <w:numFmt w:val="lowerRoman"/>
      <w:lvlText w:val="%6."/>
      <w:lvlJc w:val="right"/>
      <w:pPr>
        <w:tabs>
          <w:tab w:val="num" w:pos="5507"/>
        </w:tabs>
        <w:ind w:left="5507" w:hanging="180"/>
      </w:pPr>
    </w:lvl>
    <w:lvl w:ilvl="6" w:tplc="243A1246" w:tentative="1">
      <w:start w:val="1"/>
      <w:numFmt w:val="decimal"/>
      <w:lvlText w:val="%7."/>
      <w:lvlJc w:val="left"/>
      <w:pPr>
        <w:tabs>
          <w:tab w:val="num" w:pos="6227"/>
        </w:tabs>
        <w:ind w:left="6227" w:hanging="360"/>
      </w:pPr>
    </w:lvl>
    <w:lvl w:ilvl="7" w:tplc="6D14F6A4" w:tentative="1">
      <w:start w:val="1"/>
      <w:numFmt w:val="lowerLetter"/>
      <w:lvlText w:val="%8."/>
      <w:lvlJc w:val="left"/>
      <w:pPr>
        <w:tabs>
          <w:tab w:val="num" w:pos="6947"/>
        </w:tabs>
        <w:ind w:left="6947" w:hanging="360"/>
      </w:pPr>
    </w:lvl>
    <w:lvl w:ilvl="8" w:tplc="A82040C6" w:tentative="1">
      <w:start w:val="1"/>
      <w:numFmt w:val="lowerRoman"/>
      <w:lvlText w:val="%9."/>
      <w:lvlJc w:val="right"/>
      <w:pPr>
        <w:tabs>
          <w:tab w:val="num" w:pos="7667"/>
        </w:tabs>
        <w:ind w:left="7667" w:hanging="180"/>
      </w:pPr>
    </w:lvl>
  </w:abstractNum>
  <w:abstractNum w:abstractNumId="13" w15:restartNumberingAfterBreak="0">
    <w:nsid w:val="2EC91C98"/>
    <w:multiLevelType w:val="hybridMultilevel"/>
    <w:tmpl w:val="624202B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39217209"/>
    <w:multiLevelType w:val="hybridMultilevel"/>
    <w:tmpl w:val="7B2254DC"/>
    <w:lvl w:ilvl="0" w:tplc="4432B68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1E70C3"/>
    <w:multiLevelType w:val="hybridMultilevel"/>
    <w:tmpl w:val="CCF465B6"/>
    <w:lvl w:ilvl="0" w:tplc="F3C696AA">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95F13"/>
    <w:multiLevelType w:val="hybridMultilevel"/>
    <w:tmpl w:val="E5E2C3AE"/>
    <w:lvl w:ilvl="0" w:tplc="C7662E06">
      <w:numFmt w:val="bullet"/>
      <w:lvlText w:val="•"/>
      <w:lvlJc w:val="left"/>
      <w:pPr>
        <w:ind w:left="1494" w:hanging="360"/>
      </w:pPr>
      <w:rPr>
        <w:rFonts w:ascii="Arial" w:eastAsia="Times"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3F376123"/>
    <w:multiLevelType w:val="hybridMultilevel"/>
    <w:tmpl w:val="F9D8798E"/>
    <w:lvl w:ilvl="0" w:tplc="7ABCDEE8">
      <w:start w:val="1"/>
      <w:numFmt w:val="bullet"/>
      <w:lvlText w:val="-"/>
      <w:lvlJc w:val="left"/>
      <w:pPr>
        <w:ind w:left="1776" w:hanging="360"/>
      </w:pPr>
      <w:rPr>
        <w:rFonts w:ascii="Arial" w:eastAsia="Arial"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40B6540F"/>
    <w:multiLevelType w:val="hybridMultilevel"/>
    <w:tmpl w:val="64A20FCA"/>
    <w:lvl w:ilvl="0" w:tplc="4B58BE4E">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9" w15:restartNumberingAfterBreak="0">
    <w:nsid w:val="40F12C1E"/>
    <w:multiLevelType w:val="multilevel"/>
    <w:tmpl w:val="DEC60D1C"/>
    <w:lvl w:ilvl="0">
      <w:numFmt w:val="bullet"/>
      <w:lvlText w:val="-"/>
      <w:lvlJc w:val="left"/>
      <w:pPr>
        <w:tabs>
          <w:tab w:val="num" w:pos="99"/>
        </w:tabs>
        <w:ind w:left="99" w:hanging="360"/>
      </w:pPr>
      <w:rPr>
        <w:rFonts w:ascii="Calibri" w:eastAsia="Calibri" w:hAnsi="Calibri" w:cs="Calibri" w:hint="default"/>
      </w:rPr>
    </w:lvl>
    <w:lvl w:ilvl="1">
      <w:start w:val="1"/>
      <w:numFmt w:val="decimal"/>
      <w:lvlText w:val="%2."/>
      <w:lvlJc w:val="left"/>
      <w:pPr>
        <w:tabs>
          <w:tab w:val="num" w:pos="819"/>
        </w:tabs>
        <w:ind w:left="819" w:hanging="360"/>
      </w:pPr>
    </w:lvl>
    <w:lvl w:ilvl="2">
      <w:numFmt w:val="bullet"/>
      <w:lvlText w:val="-"/>
      <w:lvlJc w:val="left"/>
      <w:pPr>
        <w:ind w:left="1539" w:hanging="360"/>
      </w:pPr>
      <w:rPr>
        <w:rFonts w:ascii="Calibri" w:eastAsiaTheme="minorHAnsi" w:hAnsi="Calibri" w:cs="Calibri" w:hint="default"/>
      </w:rPr>
    </w:lvl>
    <w:lvl w:ilvl="3">
      <w:start w:val="1"/>
      <w:numFmt w:val="decimal"/>
      <w:lvlText w:val="%4."/>
      <w:lvlJc w:val="left"/>
      <w:pPr>
        <w:tabs>
          <w:tab w:val="num" w:pos="2259"/>
        </w:tabs>
        <w:ind w:left="2259" w:hanging="360"/>
      </w:pPr>
    </w:lvl>
    <w:lvl w:ilvl="4">
      <w:start w:val="1"/>
      <w:numFmt w:val="decimal"/>
      <w:lvlText w:val="%5."/>
      <w:lvlJc w:val="left"/>
      <w:pPr>
        <w:tabs>
          <w:tab w:val="num" w:pos="2979"/>
        </w:tabs>
        <w:ind w:left="2979" w:hanging="360"/>
      </w:pPr>
    </w:lvl>
    <w:lvl w:ilvl="5">
      <w:start w:val="1"/>
      <w:numFmt w:val="decimal"/>
      <w:lvlText w:val="%6."/>
      <w:lvlJc w:val="left"/>
      <w:pPr>
        <w:tabs>
          <w:tab w:val="num" w:pos="3699"/>
        </w:tabs>
        <w:ind w:left="3699" w:hanging="360"/>
      </w:pPr>
    </w:lvl>
    <w:lvl w:ilvl="6">
      <w:start w:val="1"/>
      <w:numFmt w:val="decimal"/>
      <w:lvlText w:val="%7."/>
      <w:lvlJc w:val="left"/>
      <w:pPr>
        <w:tabs>
          <w:tab w:val="num" w:pos="4419"/>
        </w:tabs>
        <w:ind w:left="4419" w:hanging="360"/>
      </w:pPr>
    </w:lvl>
    <w:lvl w:ilvl="7">
      <w:start w:val="1"/>
      <w:numFmt w:val="decimal"/>
      <w:lvlText w:val="%8."/>
      <w:lvlJc w:val="left"/>
      <w:pPr>
        <w:tabs>
          <w:tab w:val="num" w:pos="5139"/>
        </w:tabs>
        <w:ind w:left="5139" w:hanging="360"/>
      </w:pPr>
    </w:lvl>
    <w:lvl w:ilvl="8">
      <w:start w:val="1"/>
      <w:numFmt w:val="decimal"/>
      <w:lvlText w:val="%9."/>
      <w:lvlJc w:val="left"/>
      <w:pPr>
        <w:tabs>
          <w:tab w:val="num" w:pos="5859"/>
        </w:tabs>
        <w:ind w:left="5859" w:hanging="360"/>
      </w:pPr>
    </w:lvl>
  </w:abstractNum>
  <w:abstractNum w:abstractNumId="20" w15:restartNumberingAfterBreak="0">
    <w:nsid w:val="4B716A2B"/>
    <w:multiLevelType w:val="hybridMultilevel"/>
    <w:tmpl w:val="F93ABE0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54F2147F"/>
    <w:multiLevelType w:val="hybridMultilevel"/>
    <w:tmpl w:val="31B69234"/>
    <w:lvl w:ilvl="0" w:tplc="C0424930">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2" w15:restartNumberingAfterBreak="0">
    <w:nsid w:val="5A594F3C"/>
    <w:multiLevelType w:val="hybridMultilevel"/>
    <w:tmpl w:val="CB6ED4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FF74ED4"/>
    <w:multiLevelType w:val="hybridMultilevel"/>
    <w:tmpl w:val="A4C0D5C0"/>
    <w:lvl w:ilvl="0" w:tplc="7ABCDEE8">
      <w:start w:val="1"/>
      <w:numFmt w:val="bullet"/>
      <w:lvlText w:val="-"/>
      <w:lvlJc w:val="left"/>
      <w:pPr>
        <w:ind w:left="1776" w:hanging="360"/>
      </w:pPr>
      <w:rPr>
        <w:rFonts w:ascii="Arial" w:eastAsia="Arial"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3C71C24"/>
    <w:multiLevelType w:val="multilevel"/>
    <w:tmpl w:val="AB929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59F4DB4"/>
    <w:multiLevelType w:val="hybridMultilevel"/>
    <w:tmpl w:val="71A2B27A"/>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6" w15:restartNumberingAfterBreak="0">
    <w:nsid w:val="69371EE8"/>
    <w:multiLevelType w:val="hybridMultilevel"/>
    <w:tmpl w:val="CEF8B0E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7" w15:restartNumberingAfterBreak="0">
    <w:nsid w:val="69716B7C"/>
    <w:multiLevelType w:val="multilevel"/>
    <w:tmpl w:val="6B2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81F87"/>
    <w:multiLevelType w:val="hybridMultilevel"/>
    <w:tmpl w:val="F670B562"/>
    <w:lvl w:ilvl="0" w:tplc="E90AAB9C">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73B64C82"/>
    <w:multiLevelType w:val="hybridMultilevel"/>
    <w:tmpl w:val="BF941DA2"/>
    <w:lvl w:ilvl="0" w:tplc="8F6EEBC0">
      <w:start w:val="1"/>
      <w:numFmt w:val="bullet"/>
      <w:lvlText w:val=""/>
      <w:lvlJc w:val="left"/>
      <w:pPr>
        <w:ind w:left="2136" w:hanging="360"/>
      </w:pPr>
      <w:rPr>
        <w:rFonts w:ascii="Symbol" w:hAnsi="Symbol" w:hint="default"/>
      </w:rPr>
    </w:lvl>
    <w:lvl w:ilvl="1" w:tplc="E1A4124A">
      <w:start w:val="1"/>
      <w:numFmt w:val="bullet"/>
      <w:lvlText w:val="o"/>
      <w:lvlJc w:val="left"/>
      <w:pPr>
        <w:ind w:left="2856" w:hanging="360"/>
      </w:pPr>
      <w:rPr>
        <w:rFonts w:ascii="Courier New" w:hAnsi="Courier New" w:cs="Courier New" w:hint="default"/>
      </w:rPr>
    </w:lvl>
    <w:lvl w:ilvl="2" w:tplc="F3C696AA">
      <w:start w:val="1"/>
      <w:numFmt w:val="bullet"/>
      <w:lvlText w:val=""/>
      <w:lvlJc w:val="left"/>
      <w:pPr>
        <w:ind w:left="3576" w:hanging="360"/>
      </w:pPr>
      <w:rPr>
        <w:rFonts w:ascii="Wingdings" w:hAnsi="Wingdings" w:hint="default"/>
      </w:rPr>
    </w:lvl>
    <w:lvl w:ilvl="3" w:tplc="95B6110E">
      <w:start w:val="1"/>
      <w:numFmt w:val="bullet"/>
      <w:lvlText w:val=""/>
      <w:lvlJc w:val="left"/>
      <w:pPr>
        <w:ind w:left="4296" w:hanging="360"/>
      </w:pPr>
      <w:rPr>
        <w:rFonts w:ascii="Symbol" w:hAnsi="Symbol" w:hint="default"/>
      </w:rPr>
    </w:lvl>
    <w:lvl w:ilvl="4" w:tplc="97228D1C">
      <w:start w:val="1"/>
      <w:numFmt w:val="bullet"/>
      <w:lvlText w:val="o"/>
      <w:lvlJc w:val="left"/>
      <w:pPr>
        <w:ind w:left="5016" w:hanging="360"/>
      </w:pPr>
      <w:rPr>
        <w:rFonts w:ascii="Courier New" w:hAnsi="Courier New" w:cs="Courier New" w:hint="default"/>
      </w:rPr>
    </w:lvl>
    <w:lvl w:ilvl="5" w:tplc="FA809174">
      <w:start w:val="1"/>
      <w:numFmt w:val="bullet"/>
      <w:lvlText w:val=""/>
      <w:lvlJc w:val="left"/>
      <w:pPr>
        <w:ind w:left="5736" w:hanging="360"/>
      </w:pPr>
      <w:rPr>
        <w:rFonts w:ascii="Wingdings" w:hAnsi="Wingdings" w:hint="default"/>
      </w:rPr>
    </w:lvl>
    <w:lvl w:ilvl="6" w:tplc="B6824960">
      <w:start w:val="1"/>
      <w:numFmt w:val="bullet"/>
      <w:lvlText w:val=""/>
      <w:lvlJc w:val="left"/>
      <w:pPr>
        <w:ind w:left="6456" w:hanging="360"/>
      </w:pPr>
      <w:rPr>
        <w:rFonts w:ascii="Symbol" w:hAnsi="Symbol" w:hint="default"/>
      </w:rPr>
    </w:lvl>
    <w:lvl w:ilvl="7" w:tplc="3BAE0A76">
      <w:start w:val="1"/>
      <w:numFmt w:val="bullet"/>
      <w:lvlText w:val="o"/>
      <w:lvlJc w:val="left"/>
      <w:pPr>
        <w:ind w:left="7176" w:hanging="360"/>
      </w:pPr>
      <w:rPr>
        <w:rFonts w:ascii="Courier New" w:hAnsi="Courier New" w:cs="Courier New" w:hint="default"/>
      </w:rPr>
    </w:lvl>
    <w:lvl w:ilvl="8" w:tplc="9C804370">
      <w:start w:val="1"/>
      <w:numFmt w:val="bullet"/>
      <w:lvlText w:val=""/>
      <w:lvlJc w:val="left"/>
      <w:pPr>
        <w:ind w:left="7896" w:hanging="360"/>
      </w:pPr>
      <w:rPr>
        <w:rFonts w:ascii="Wingdings" w:hAnsi="Wingdings" w:hint="default"/>
      </w:rPr>
    </w:lvl>
  </w:abstractNum>
  <w:abstractNum w:abstractNumId="30" w15:restartNumberingAfterBreak="0">
    <w:nsid w:val="7A073B4F"/>
    <w:multiLevelType w:val="multilevel"/>
    <w:tmpl w:val="0BB6AB02"/>
    <w:lvl w:ilvl="0">
      <w:start w:val="1"/>
      <w:numFmt w:val="bullet"/>
      <w:lvlText w:val=""/>
      <w:lvlJc w:val="left"/>
      <w:pPr>
        <w:tabs>
          <w:tab w:val="num" w:pos="2136"/>
        </w:tabs>
        <w:ind w:left="2136" w:hanging="72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decimal"/>
      <w:lvlText w:val="%3."/>
      <w:lvlJc w:val="left"/>
      <w:pPr>
        <w:tabs>
          <w:tab w:val="num" w:pos="3576"/>
        </w:tabs>
        <w:ind w:left="3576" w:hanging="720"/>
      </w:pPr>
    </w:lvl>
    <w:lvl w:ilvl="3">
      <w:start w:val="1"/>
      <w:numFmt w:val="decimal"/>
      <w:lvlText w:val="%4."/>
      <w:lvlJc w:val="left"/>
      <w:pPr>
        <w:tabs>
          <w:tab w:val="num" w:pos="4296"/>
        </w:tabs>
        <w:ind w:left="4296" w:hanging="720"/>
      </w:pPr>
    </w:lvl>
    <w:lvl w:ilvl="4">
      <w:start w:val="1"/>
      <w:numFmt w:val="decimal"/>
      <w:lvlText w:val="%5."/>
      <w:lvlJc w:val="left"/>
      <w:pPr>
        <w:tabs>
          <w:tab w:val="num" w:pos="5016"/>
        </w:tabs>
        <w:ind w:left="5016" w:hanging="720"/>
      </w:pPr>
    </w:lvl>
    <w:lvl w:ilvl="5">
      <w:start w:val="1"/>
      <w:numFmt w:val="decimal"/>
      <w:lvlText w:val="%6."/>
      <w:lvlJc w:val="left"/>
      <w:pPr>
        <w:tabs>
          <w:tab w:val="num" w:pos="5736"/>
        </w:tabs>
        <w:ind w:left="5736" w:hanging="720"/>
      </w:pPr>
    </w:lvl>
    <w:lvl w:ilvl="6">
      <w:start w:val="1"/>
      <w:numFmt w:val="decimal"/>
      <w:lvlText w:val="%7."/>
      <w:lvlJc w:val="left"/>
      <w:pPr>
        <w:tabs>
          <w:tab w:val="num" w:pos="6456"/>
        </w:tabs>
        <w:ind w:left="6456" w:hanging="720"/>
      </w:pPr>
    </w:lvl>
    <w:lvl w:ilvl="7">
      <w:start w:val="1"/>
      <w:numFmt w:val="decimal"/>
      <w:lvlText w:val="%8."/>
      <w:lvlJc w:val="left"/>
      <w:pPr>
        <w:tabs>
          <w:tab w:val="num" w:pos="7176"/>
        </w:tabs>
        <w:ind w:left="7176" w:hanging="720"/>
      </w:pPr>
    </w:lvl>
    <w:lvl w:ilvl="8">
      <w:start w:val="1"/>
      <w:numFmt w:val="decimal"/>
      <w:lvlText w:val="%9."/>
      <w:lvlJc w:val="left"/>
      <w:pPr>
        <w:tabs>
          <w:tab w:val="num" w:pos="7896"/>
        </w:tabs>
        <w:ind w:left="7896" w:hanging="720"/>
      </w:pPr>
    </w:lvl>
  </w:abstractNum>
  <w:abstractNum w:abstractNumId="31" w15:restartNumberingAfterBreak="0">
    <w:nsid w:val="7B391701"/>
    <w:multiLevelType w:val="hybridMultilevel"/>
    <w:tmpl w:val="D0BC58CA"/>
    <w:lvl w:ilvl="0" w:tplc="BCA8FEF6">
      <w:numFmt w:val="bullet"/>
      <w:lvlText w:val="-"/>
      <w:lvlJc w:val="left"/>
      <w:pPr>
        <w:ind w:left="1494" w:hanging="360"/>
      </w:pPr>
      <w:rPr>
        <w:rFonts w:ascii="Arial" w:eastAsia="Arial"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2" w15:restartNumberingAfterBreak="0">
    <w:nsid w:val="7DFD2758"/>
    <w:multiLevelType w:val="multilevel"/>
    <w:tmpl w:val="C934626A"/>
    <w:lvl w:ilvl="0">
      <w:numFmt w:val="bullet"/>
      <w:lvlText w:val="-"/>
      <w:lvlJc w:val="left"/>
      <w:pPr>
        <w:tabs>
          <w:tab w:val="num" w:pos="99"/>
        </w:tabs>
        <w:ind w:left="99" w:hanging="360"/>
      </w:pPr>
      <w:rPr>
        <w:rFonts w:ascii="Calibri" w:eastAsia="Calibri" w:hAnsi="Calibri" w:cs="Calibri" w:hint="default"/>
      </w:rPr>
    </w:lvl>
    <w:lvl w:ilvl="1">
      <w:start w:val="1"/>
      <w:numFmt w:val="decimal"/>
      <w:lvlText w:val="%2."/>
      <w:lvlJc w:val="left"/>
      <w:pPr>
        <w:tabs>
          <w:tab w:val="num" w:pos="819"/>
        </w:tabs>
        <w:ind w:left="819" w:hanging="360"/>
      </w:pPr>
    </w:lvl>
    <w:lvl w:ilvl="2">
      <w:start w:val="1"/>
      <w:numFmt w:val="decimal"/>
      <w:lvlText w:val="%3."/>
      <w:lvlJc w:val="left"/>
      <w:pPr>
        <w:tabs>
          <w:tab w:val="num" w:pos="1539"/>
        </w:tabs>
        <w:ind w:left="1539" w:hanging="360"/>
      </w:pPr>
    </w:lvl>
    <w:lvl w:ilvl="3">
      <w:start w:val="1"/>
      <w:numFmt w:val="decimal"/>
      <w:lvlText w:val="%4."/>
      <w:lvlJc w:val="left"/>
      <w:pPr>
        <w:tabs>
          <w:tab w:val="num" w:pos="2259"/>
        </w:tabs>
        <w:ind w:left="2259" w:hanging="360"/>
      </w:pPr>
    </w:lvl>
    <w:lvl w:ilvl="4">
      <w:start w:val="1"/>
      <w:numFmt w:val="decimal"/>
      <w:lvlText w:val="%5."/>
      <w:lvlJc w:val="left"/>
      <w:pPr>
        <w:tabs>
          <w:tab w:val="num" w:pos="2979"/>
        </w:tabs>
        <w:ind w:left="2979" w:hanging="360"/>
      </w:pPr>
    </w:lvl>
    <w:lvl w:ilvl="5">
      <w:start w:val="1"/>
      <w:numFmt w:val="decimal"/>
      <w:lvlText w:val="%6."/>
      <w:lvlJc w:val="left"/>
      <w:pPr>
        <w:tabs>
          <w:tab w:val="num" w:pos="3699"/>
        </w:tabs>
        <w:ind w:left="3699" w:hanging="360"/>
      </w:pPr>
    </w:lvl>
    <w:lvl w:ilvl="6">
      <w:start w:val="1"/>
      <w:numFmt w:val="decimal"/>
      <w:lvlText w:val="%7."/>
      <w:lvlJc w:val="left"/>
      <w:pPr>
        <w:tabs>
          <w:tab w:val="num" w:pos="4419"/>
        </w:tabs>
        <w:ind w:left="4419" w:hanging="360"/>
      </w:pPr>
    </w:lvl>
    <w:lvl w:ilvl="7">
      <w:start w:val="1"/>
      <w:numFmt w:val="decimal"/>
      <w:lvlText w:val="%8."/>
      <w:lvlJc w:val="left"/>
      <w:pPr>
        <w:tabs>
          <w:tab w:val="num" w:pos="5139"/>
        </w:tabs>
        <w:ind w:left="5139" w:hanging="360"/>
      </w:pPr>
    </w:lvl>
    <w:lvl w:ilvl="8">
      <w:start w:val="1"/>
      <w:numFmt w:val="decimal"/>
      <w:lvlText w:val="%9."/>
      <w:lvlJc w:val="left"/>
      <w:pPr>
        <w:tabs>
          <w:tab w:val="num" w:pos="5859"/>
        </w:tabs>
        <w:ind w:left="5859" w:hanging="360"/>
      </w:pPr>
    </w:lvl>
  </w:abstractNum>
  <w:abstractNum w:abstractNumId="33" w15:restartNumberingAfterBreak="0">
    <w:nsid w:val="7E3046F4"/>
    <w:multiLevelType w:val="hybridMultilevel"/>
    <w:tmpl w:val="6936D72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252202548">
    <w:abstractNumId w:val="5"/>
  </w:num>
  <w:num w:numId="2" w16cid:durableId="1923831523">
    <w:abstractNumId w:val="16"/>
  </w:num>
  <w:num w:numId="3" w16cid:durableId="832066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735412">
    <w:abstractNumId w:val="22"/>
  </w:num>
  <w:num w:numId="5" w16cid:durableId="1557546862">
    <w:abstractNumId w:val="24"/>
  </w:num>
  <w:num w:numId="6" w16cid:durableId="1926062874">
    <w:abstractNumId w:val="7"/>
  </w:num>
  <w:num w:numId="7" w16cid:durableId="1543908240">
    <w:abstractNumId w:val="33"/>
  </w:num>
  <w:num w:numId="8" w16cid:durableId="1299531322">
    <w:abstractNumId w:val="14"/>
  </w:num>
  <w:num w:numId="9" w16cid:durableId="1613392901">
    <w:abstractNumId w:val="2"/>
  </w:num>
  <w:num w:numId="10" w16cid:durableId="512647638">
    <w:abstractNumId w:val="21"/>
  </w:num>
  <w:num w:numId="11" w16cid:durableId="1362321502">
    <w:abstractNumId w:val="13"/>
  </w:num>
  <w:num w:numId="12" w16cid:durableId="605117459">
    <w:abstractNumId w:val="1"/>
  </w:num>
  <w:num w:numId="13" w16cid:durableId="832836751">
    <w:abstractNumId w:val="26"/>
  </w:num>
  <w:num w:numId="14" w16cid:durableId="705373435">
    <w:abstractNumId w:val="30"/>
  </w:num>
  <w:num w:numId="15" w16cid:durableId="671225946">
    <w:abstractNumId w:val="31"/>
  </w:num>
  <w:num w:numId="16" w16cid:durableId="65498068">
    <w:abstractNumId w:val="25"/>
  </w:num>
  <w:num w:numId="17" w16cid:durableId="1482379934">
    <w:abstractNumId w:val="11"/>
  </w:num>
  <w:num w:numId="18" w16cid:durableId="1040668868">
    <w:abstractNumId w:val="4"/>
  </w:num>
  <w:num w:numId="19" w16cid:durableId="2064019053">
    <w:abstractNumId w:val="6"/>
  </w:num>
  <w:num w:numId="20" w16cid:durableId="149176325">
    <w:abstractNumId w:val="17"/>
  </w:num>
  <w:num w:numId="21" w16cid:durableId="296902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9546757">
    <w:abstractNumId w:val="9"/>
  </w:num>
  <w:num w:numId="23" w16cid:durableId="1180269843">
    <w:abstractNumId w:val="10"/>
  </w:num>
  <w:num w:numId="24" w16cid:durableId="1259676364">
    <w:abstractNumId w:val="23"/>
  </w:num>
  <w:num w:numId="25" w16cid:durableId="101804010">
    <w:abstractNumId w:val="27"/>
  </w:num>
  <w:num w:numId="26" w16cid:durableId="1214343590">
    <w:abstractNumId w:val="20"/>
  </w:num>
  <w:num w:numId="27" w16cid:durableId="1273051783">
    <w:abstractNumId w:val="8"/>
  </w:num>
  <w:num w:numId="28" w16cid:durableId="4862146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3151294">
    <w:abstractNumId w:val="29"/>
  </w:num>
  <w:num w:numId="30" w16cid:durableId="1389835961">
    <w:abstractNumId w:val="0"/>
  </w:num>
  <w:num w:numId="31" w16cid:durableId="1548300226">
    <w:abstractNumId w:val="15"/>
  </w:num>
  <w:num w:numId="32" w16cid:durableId="993875351">
    <w:abstractNumId w:val="3"/>
  </w:num>
  <w:num w:numId="33" w16cid:durableId="1881896795">
    <w:abstractNumId w:val="19"/>
  </w:num>
  <w:num w:numId="34" w16cid:durableId="1593587103">
    <w:abstractNumId w:val="12"/>
  </w:num>
  <w:num w:numId="35" w16cid:durableId="911159464">
    <w:abstractNumId w:val="18"/>
  </w:num>
  <w:num w:numId="36" w16cid:durableId="7147379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C1"/>
    <w:rsid w:val="00001BCD"/>
    <w:rsid w:val="000036CD"/>
    <w:rsid w:val="00003795"/>
    <w:rsid w:val="00005ADB"/>
    <w:rsid w:val="00007C04"/>
    <w:rsid w:val="00010D62"/>
    <w:rsid w:val="00014520"/>
    <w:rsid w:val="0001793F"/>
    <w:rsid w:val="00022B9C"/>
    <w:rsid w:val="0002523D"/>
    <w:rsid w:val="00034C7C"/>
    <w:rsid w:val="00036386"/>
    <w:rsid w:val="0004412B"/>
    <w:rsid w:val="000452DA"/>
    <w:rsid w:val="0004692F"/>
    <w:rsid w:val="000534A3"/>
    <w:rsid w:val="00054021"/>
    <w:rsid w:val="000545D4"/>
    <w:rsid w:val="000556AA"/>
    <w:rsid w:val="000571D0"/>
    <w:rsid w:val="000604FD"/>
    <w:rsid w:val="0006353F"/>
    <w:rsid w:val="000640C3"/>
    <w:rsid w:val="00064B56"/>
    <w:rsid w:val="000653FD"/>
    <w:rsid w:val="00066A22"/>
    <w:rsid w:val="00066CEE"/>
    <w:rsid w:val="000712CD"/>
    <w:rsid w:val="00071471"/>
    <w:rsid w:val="00071FAE"/>
    <w:rsid w:val="00075DE7"/>
    <w:rsid w:val="00082A12"/>
    <w:rsid w:val="00083025"/>
    <w:rsid w:val="00086BBB"/>
    <w:rsid w:val="00092E67"/>
    <w:rsid w:val="00097AE3"/>
    <w:rsid w:val="000A47A6"/>
    <w:rsid w:val="000A77A6"/>
    <w:rsid w:val="000B12E2"/>
    <w:rsid w:val="000B4DC9"/>
    <w:rsid w:val="000C0796"/>
    <w:rsid w:val="000C620A"/>
    <w:rsid w:val="000C73F3"/>
    <w:rsid w:val="000D3FF0"/>
    <w:rsid w:val="000D40D1"/>
    <w:rsid w:val="000D5E40"/>
    <w:rsid w:val="000E05D9"/>
    <w:rsid w:val="000E1040"/>
    <w:rsid w:val="000E4D9D"/>
    <w:rsid w:val="000F2D23"/>
    <w:rsid w:val="000F5C68"/>
    <w:rsid w:val="00103778"/>
    <w:rsid w:val="00112C32"/>
    <w:rsid w:val="00113DF7"/>
    <w:rsid w:val="0012097B"/>
    <w:rsid w:val="00122E3B"/>
    <w:rsid w:val="001241FD"/>
    <w:rsid w:val="00130391"/>
    <w:rsid w:val="00130687"/>
    <w:rsid w:val="001325FE"/>
    <w:rsid w:val="00140929"/>
    <w:rsid w:val="0014163C"/>
    <w:rsid w:val="00141E19"/>
    <w:rsid w:val="00142161"/>
    <w:rsid w:val="001524C2"/>
    <w:rsid w:val="00156C8F"/>
    <w:rsid w:val="001576CF"/>
    <w:rsid w:val="0016176C"/>
    <w:rsid w:val="00161D74"/>
    <w:rsid w:val="0016359B"/>
    <w:rsid w:val="00165447"/>
    <w:rsid w:val="00170498"/>
    <w:rsid w:val="00171BA3"/>
    <w:rsid w:val="00171E6A"/>
    <w:rsid w:val="00173C00"/>
    <w:rsid w:val="00174623"/>
    <w:rsid w:val="00174E40"/>
    <w:rsid w:val="00180AFA"/>
    <w:rsid w:val="001852A2"/>
    <w:rsid w:val="00185802"/>
    <w:rsid w:val="00191347"/>
    <w:rsid w:val="001946C7"/>
    <w:rsid w:val="00194C5E"/>
    <w:rsid w:val="00197B0B"/>
    <w:rsid w:val="001A364A"/>
    <w:rsid w:val="001A5321"/>
    <w:rsid w:val="001B05F2"/>
    <w:rsid w:val="001B5BBB"/>
    <w:rsid w:val="001B64E0"/>
    <w:rsid w:val="001B7A6F"/>
    <w:rsid w:val="001C5BC1"/>
    <w:rsid w:val="001D032A"/>
    <w:rsid w:val="001D1827"/>
    <w:rsid w:val="001D6224"/>
    <w:rsid w:val="001F1359"/>
    <w:rsid w:val="001F155E"/>
    <w:rsid w:val="001F3156"/>
    <w:rsid w:val="001F4904"/>
    <w:rsid w:val="001F508F"/>
    <w:rsid w:val="001F5698"/>
    <w:rsid w:val="001F58C9"/>
    <w:rsid w:val="001F6874"/>
    <w:rsid w:val="002000DB"/>
    <w:rsid w:val="002047FB"/>
    <w:rsid w:val="002118A3"/>
    <w:rsid w:val="00214091"/>
    <w:rsid w:val="00216451"/>
    <w:rsid w:val="0021646F"/>
    <w:rsid w:val="0022107F"/>
    <w:rsid w:val="00221CB7"/>
    <w:rsid w:val="002229B6"/>
    <w:rsid w:val="002259BE"/>
    <w:rsid w:val="002264A0"/>
    <w:rsid w:val="002267CA"/>
    <w:rsid w:val="00230B80"/>
    <w:rsid w:val="00234BB3"/>
    <w:rsid w:val="002407EE"/>
    <w:rsid w:val="00252C89"/>
    <w:rsid w:val="002663E3"/>
    <w:rsid w:val="00267A89"/>
    <w:rsid w:val="002701D1"/>
    <w:rsid w:val="002705B9"/>
    <w:rsid w:val="00274095"/>
    <w:rsid w:val="00284D97"/>
    <w:rsid w:val="002853EA"/>
    <w:rsid w:val="00292682"/>
    <w:rsid w:val="00293405"/>
    <w:rsid w:val="00294565"/>
    <w:rsid w:val="00295FF4"/>
    <w:rsid w:val="002A5042"/>
    <w:rsid w:val="002B0991"/>
    <w:rsid w:val="002B6B16"/>
    <w:rsid w:val="002D08AF"/>
    <w:rsid w:val="002D13BD"/>
    <w:rsid w:val="002D1A26"/>
    <w:rsid w:val="002D6CE5"/>
    <w:rsid w:val="002D6F70"/>
    <w:rsid w:val="002E3242"/>
    <w:rsid w:val="002F39E0"/>
    <w:rsid w:val="002F52C7"/>
    <w:rsid w:val="002F6092"/>
    <w:rsid w:val="002F6DB9"/>
    <w:rsid w:val="002F6DF4"/>
    <w:rsid w:val="003013F3"/>
    <w:rsid w:val="00302E27"/>
    <w:rsid w:val="00306E1F"/>
    <w:rsid w:val="003101B6"/>
    <w:rsid w:val="003101CA"/>
    <w:rsid w:val="003144C1"/>
    <w:rsid w:val="00315580"/>
    <w:rsid w:val="003171C8"/>
    <w:rsid w:val="00317ACB"/>
    <w:rsid w:val="00317C6A"/>
    <w:rsid w:val="00317F0D"/>
    <w:rsid w:val="003219DF"/>
    <w:rsid w:val="003241EB"/>
    <w:rsid w:val="003342AE"/>
    <w:rsid w:val="00336A41"/>
    <w:rsid w:val="00340B26"/>
    <w:rsid w:val="003415C1"/>
    <w:rsid w:val="00341644"/>
    <w:rsid w:val="0034400C"/>
    <w:rsid w:val="00347606"/>
    <w:rsid w:val="0035186B"/>
    <w:rsid w:val="00352461"/>
    <w:rsid w:val="003547E4"/>
    <w:rsid w:val="00355731"/>
    <w:rsid w:val="003606E4"/>
    <w:rsid w:val="0036220F"/>
    <w:rsid w:val="003629D4"/>
    <w:rsid w:val="00363656"/>
    <w:rsid w:val="00364529"/>
    <w:rsid w:val="0036520A"/>
    <w:rsid w:val="00366DE4"/>
    <w:rsid w:val="00373E6C"/>
    <w:rsid w:val="00374D42"/>
    <w:rsid w:val="00375371"/>
    <w:rsid w:val="00377F98"/>
    <w:rsid w:val="00382646"/>
    <w:rsid w:val="00382880"/>
    <w:rsid w:val="00392E8F"/>
    <w:rsid w:val="003A3FE1"/>
    <w:rsid w:val="003A58B9"/>
    <w:rsid w:val="003B0276"/>
    <w:rsid w:val="003B1B93"/>
    <w:rsid w:val="003B2A8B"/>
    <w:rsid w:val="003B7642"/>
    <w:rsid w:val="003C3C8D"/>
    <w:rsid w:val="003D08CA"/>
    <w:rsid w:val="003D704C"/>
    <w:rsid w:val="003E0037"/>
    <w:rsid w:val="003E2114"/>
    <w:rsid w:val="003E2F70"/>
    <w:rsid w:val="003F1638"/>
    <w:rsid w:val="003F57C9"/>
    <w:rsid w:val="00401B0D"/>
    <w:rsid w:val="00402192"/>
    <w:rsid w:val="00405342"/>
    <w:rsid w:val="004054F2"/>
    <w:rsid w:val="00411DE3"/>
    <w:rsid w:val="004172F1"/>
    <w:rsid w:val="00421324"/>
    <w:rsid w:val="004227A6"/>
    <w:rsid w:val="004269A6"/>
    <w:rsid w:val="00432F17"/>
    <w:rsid w:val="0044004A"/>
    <w:rsid w:val="004419FB"/>
    <w:rsid w:val="00443D0B"/>
    <w:rsid w:val="00445CC2"/>
    <w:rsid w:val="00450AAF"/>
    <w:rsid w:val="00450B12"/>
    <w:rsid w:val="00451815"/>
    <w:rsid w:val="00452D05"/>
    <w:rsid w:val="004534EB"/>
    <w:rsid w:val="00454013"/>
    <w:rsid w:val="00455148"/>
    <w:rsid w:val="00456F20"/>
    <w:rsid w:val="004643BD"/>
    <w:rsid w:val="00465164"/>
    <w:rsid w:val="004659DE"/>
    <w:rsid w:val="00465A5B"/>
    <w:rsid w:val="00476965"/>
    <w:rsid w:val="00477BE4"/>
    <w:rsid w:val="00480976"/>
    <w:rsid w:val="00483920"/>
    <w:rsid w:val="0049100E"/>
    <w:rsid w:val="004924D8"/>
    <w:rsid w:val="004A0F0B"/>
    <w:rsid w:val="004A64E6"/>
    <w:rsid w:val="004A7260"/>
    <w:rsid w:val="004A72F7"/>
    <w:rsid w:val="004A7403"/>
    <w:rsid w:val="004B2969"/>
    <w:rsid w:val="004B2CE6"/>
    <w:rsid w:val="004B374D"/>
    <w:rsid w:val="004B6AC9"/>
    <w:rsid w:val="004C2497"/>
    <w:rsid w:val="004C26C4"/>
    <w:rsid w:val="004C7541"/>
    <w:rsid w:val="004D25F2"/>
    <w:rsid w:val="004D4EA5"/>
    <w:rsid w:val="004D709F"/>
    <w:rsid w:val="004E0014"/>
    <w:rsid w:val="004E219E"/>
    <w:rsid w:val="004E36EE"/>
    <w:rsid w:val="004E3A02"/>
    <w:rsid w:val="004F0CBD"/>
    <w:rsid w:val="004F2E4A"/>
    <w:rsid w:val="004F3253"/>
    <w:rsid w:val="004F488C"/>
    <w:rsid w:val="004F5E29"/>
    <w:rsid w:val="00501A0C"/>
    <w:rsid w:val="00501B27"/>
    <w:rsid w:val="005029A1"/>
    <w:rsid w:val="00506BB9"/>
    <w:rsid w:val="005142D3"/>
    <w:rsid w:val="005176EB"/>
    <w:rsid w:val="00521B92"/>
    <w:rsid w:val="00525869"/>
    <w:rsid w:val="00540815"/>
    <w:rsid w:val="00540F3C"/>
    <w:rsid w:val="0054237F"/>
    <w:rsid w:val="00545ACB"/>
    <w:rsid w:val="00547CA7"/>
    <w:rsid w:val="00551BAC"/>
    <w:rsid w:val="005530C4"/>
    <w:rsid w:val="00556A77"/>
    <w:rsid w:val="00562080"/>
    <w:rsid w:val="00563086"/>
    <w:rsid w:val="005637C4"/>
    <w:rsid w:val="00571119"/>
    <w:rsid w:val="005756C4"/>
    <w:rsid w:val="005770BF"/>
    <w:rsid w:val="00577A21"/>
    <w:rsid w:val="00580C7A"/>
    <w:rsid w:val="0058184E"/>
    <w:rsid w:val="00585D23"/>
    <w:rsid w:val="00593A6D"/>
    <w:rsid w:val="00594312"/>
    <w:rsid w:val="00595FEC"/>
    <w:rsid w:val="005974FF"/>
    <w:rsid w:val="005A3297"/>
    <w:rsid w:val="005A3A7E"/>
    <w:rsid w:val="005B0867"/>
    <w:rsid w:val="005B1376"/>
    <w:rsid w:val="005B30AD"/>
    <w:rsid w:val="005B7AA8"/>
    <w:rsid w:val="005C0826"/>
    <w:rsid w:val="005C15BC"/>
    <w:rsid w:val="005C1D35"/>
    <w:rsid w:val="005C4B07"/>
    <w:rsid w:val="005C624F"/>
    <w:rsid w:val="005C73EF"/>
    <w:rsid w:val="005C768A"/>
    <w:rsid w:val="005D0107"/>
    <w:rsid w:val="005D0DBA"/>
    <w:rsid w:val="005D5E6E"/>
    <w:rsid w:val="005E1E31"/>
    <w:rsid w:val="005F5C48"/>
    <w:rsid w:val="005F5F4E"/>
    <w:rsid w:val="005F6451"/>
    <w:rsid w:val="005F6472"/>
    <w:rsid w:val="005F7B3B"/>
    <w:rsid w:val="00604E4D"/>
    <w:rsid w:val="0060584F"/>
    <w:rsid w:val="00610672"/>
    <w:rsid w:val="006106C3"/>
    <w:rsid w:val="00610E57"/>
    <w:rsid w:val="0061194B"/>
    <w:rsid w:val="00611E75"/>
    <w:rsid w:val="00615DB9"/>
    <w:rsid w:val="00616CBD"/>
    <w:rsid w:val="00620D37"/>
    <w:rsid w:val="00623106"/>
    <w:rsid w:val="0063410C"/>
    <w:rsid w:val="00635CD2"/>
    <w:rsid w:val="00641B9A"/>
    <w:rsid w:val="00643912"/>
    <w:rsid w:val="0065243F"/>
    <w:rsid w:val="00656AA7"/>
    <w:rsid w:val="006603FA"/>
    <w:rsid w:val="00661800"/>
    <w:rsid w:val="00661CA8"/>
    <w:rsid w:val="00662A46"/>
    <w:rsid w:val="00663F63"/>
    <w:rsid w:val="00665110"/>
    <w:rsid w:val="00667264"/>
    <w:rsid w:val="00667FBE"/>
    <w:rsid w:val="0067778C"/>
    <w:rsid w:val="0068258A"/>
    <w:rsid w:val="0068560B"/>
    <w:rsid w:val="00686466"/>
    <w:rsid w:val="006911E9"/>
    <w:rsid w:val="0069160D"/>
    <w:rsid w:val="0069274C"/>
    <w:rsid w:val="006928B9"/>
    <w:rsid w:val="00697623"/>
    <w:rsid w:val="00697CFD"/>
    <w:rsid w:val="006A114A"/>
    <w:rsid w:val="006A405C"/>
    <w:rsid w:val="006A65FC"/>
    <w:rsid w:val="006A7CF8"/>
    <w:rsid w:val="006A7DE6"/>
    <w:rsid w:val="006B5BBF"/>
    <w:rsid w:val="006B6D0A"/>
    <w:rsid w:val="006C0CCC"/>
    <w:rsid w:val="006C0CCD"/>
    <w:rsid w:val="006C1D6D"/>
    <w:rsid w:val="006D19C3"/>
    <w:rsid w:val="006D209C"/>
    <w:rsid w:val="006D5C01"/>
    <w:rsid w:val="006E3B0D"/>
    <w:rsid w:val="006E5DDE"/>
    <w:rsid w:val="006E6937"/>
    <w:rsid w:val="006F40DE"/>
    <w:rsid w:val="006F5F05"/>
    <w:rsid w:val="007005C8"/>
    <w:rsid w:val="007012A8"/>
    <w:rsid w:val="0070169D"/>
    <w:rsid w:val="00704B25"/>
    <w:rsid w:val="00704ECA"/>
    <w:rsid w:val="00715CB8"/>
    <w:rsid w:val="00716636"/>
    <w:rsid w:val="00717989"/>
    <w:rsid w:val="00724526"/>
    <w:rsid w:val="00732AE6"/>
    <w:rsid w:val="00747FBA"/>
    <w:rsid w:val="00750347"/>
    <w:rsid w:val="0075205C"/>
    <w:rsid w:val="00752961"/>
    <w:rsid w:val="00752ED0"/>
    <w:rsid w:val="00753017"/>
    <w:rsid w:val="007642D2"/>
    <w:rsid w:val="00765696"/>
    <w:rsid w:val="0077425E"/>
    <w:rsid w:val="00775041"/>
    <w:rsid w:val="00775E84"/>
    <w:rsid w:val="007852DA"/>
    <w:rsid w:val="007915C8"/>
    <w:rsid w:val="007948F6"/>
    <w:rsid w:val="007A2612"/>
    <w:rsid w:val="007A32B8"/>
    <w:rsid w:val="007A7119"/>
    <w:rsid w:val="007B3E3F"/>
    <w:rsid w:val="007B42FB"/>
    <w:rsid w:val="007B5842"/>
    <w:rsid w:val="007C1BBE"/>
    <w:rsid w:val="007D5BBF"/>
    <w:rsid w:val="007F3A11"/>
    <w:rsid w:val="0080282F"/>
    <w:rsid w:val="00803161"/>
    <w:rsid w:val="0082103B"/>
    <w:rsid w:val="008219AB"/>
    <w:rsid w:val="0083066A"/>
    <w:rsid w:val="008320AB"/>
    <w:rsid w:val="008322D7"/>
    <w:rsid w:val="008377AA"/>
    <w:rsid w:val="0083786F"/>
    <w:rsid w:val="00837CB3"/>
    <w:rsid w:val="00840DA7"/>
    <w:rsid w:val="00843583"/>
    <w:rsid w:val="00843814"/>
    <w:rsid w:val="008468B7"/>
    <w:rsid w:val="00847250"/>
    <w:rsid w:val="00850651"/>
    <w:rsid w:val="00850FB1"/>
    <w:rsid w:val="00851CA9"/>
    <w:rsid w:val="00851F3F"/>
    <w:rsid w:val="008623A8"/>
    <w:rsid w:val="00865570"/>
    <w:rsid w:val="00867B84"/>
    <w:rsid w:val="008703AF"/>
    <w:rsid w:val="008716E4"/>
    <w:rsid w:val="00875153"/>
    <w:rsid w:val="00875D26"/>
    <w:rsid w:val="00877336"/>
    <w:rsid w:val="00882F78"/>
    <w:rsid w:val="00885440"/>
    <w:rsid w:val="008863E2"/>
    <w:rsid w:val="008863FA"/>
    <w:rsid w:val="00887270"/>
    <w:rsid w:val="008872E9"/>
    <w:rsid w:val="00893940"/>
    <w:rsid w:val="008A4FFA"/>
    <w:rsid w:val="008A60D5"/>
    <w:rsid w:val="008A67E0"/>
    <w:rsid w:val="008A6C84"/>
    <w:rsid w:val="008B2CEC"/>
    <w:rsid w:val="008B416D"/>
    <w:rsid w:val="008B76AB"/>
    <w:rsid w:val="008C049D"/>
    <w:rsid w:val="008C1A9E"/>
    <w:rsid w:val="008C39C7"/>
    <w:rsid w:val="008C60C3"/>
    <w:rsid w:val="008D037D"/>
    <w:rsid w:val="008E543D"/>
    <w:rsid w:val="008E5871"/>
    <w:rsid w:val="008E67CC"/>
    <w:rsid w:val="008F1490"/>
    <w:rsid w:val="008F2456"/>
    <w:rsid w:val="008F37DB"/>
    <w:rsid w:val="008F4A5D"/>
    <w:rsid w:val="008F660F"/>
    <w:rsid w:val="00902885"/>
    <w:rsid w:val="00903746"/>
    <w:rsid w:val="0091076A"/>
    <w:rsid w:val="00911E33"/>
    <w:rsid w:val="009123ED"/>
    <w:rsid w:val="009179E9"/>
    <w:rsid w:val="0092275D"/>
    <w:rsid w:val="00924CFD"/>
    <w:rsid w:val="00925879"/>
    <w:rsid w:val="0092785D"/>
    <w:rsid w:val="00927BC1"/>
    <w:rsid w:val="009460F6"/>
    <w:rsid w:val="00951735"/>
    <w:rsid w:val="0095437D"/>
    <w:rsid w:val="00962946"/>
    <w:rsid w:val="009668AA"/>
    <w:rsid w:val="00966EBB"/>
    <w:rsid w:val="00972D07"/>
    <w:rsid w:val="00975571"/>
    <w:rsid w:val="009800F1"/>
    <w:rsid w:val="00981FD3"/>
    <w:rsid w:val="00984D8C"/>
    <w:rsid w:val="00985E21"/>
    <w:rsid w:val="00990B95"/>
    <w:rsid w:val="009911B1"/>
    <w:rsid w:val="00991A13"/>
    <w:rsid w:val="00991F19"/>
    <w:rsid w:val="009921CE"/>
    <w:rsid w:val="0099430F"/>
    <w:rsid w:val="00996D50"/>
    <w:rsid w:val="009A0CCE"/>
    <w:rsid w:val="009A2285"/>
    <w:rsid w:val="009A3770"/>
    <w:rsid w:val="009A4E53"/>
    <w:rsid w:val="009A55A7"/>
    <w:rsid w:val="009A7CA6"/>
    <w:rsid w:val="009B29E4"/>
    <w:rsid w:val="009C0312"/>
    <w:rsid w:val="009C4479"/>
    <w:rsid w:val="009D626A"/>
    <w:rsid w:val="009D6B75"/>
    <w:rsid w:val="009D6C05"/>
    <w:rsid w:val="009D7EE3"/>
    <w:rsid w:val="009F2166"/>
    <w:rsid w:val="009F3BE7"/>
    <w:rsid w:val="009F504A"/>
    <w:rsid w:val="009F7D24"/>
    <w:rsid w:val="00A05E59"/>
    <w:rsid w:val="00A13CB6"/>
    <w:rsid w:val="00A1557A"/>
    <w:rsid w:val="00A20E83"/>
    <w:rsid w:val="00A23A66"/>
    <w:rsid w:val="00A249DD"/>
    <w:rsid w:val="00A25D36"/>
    <w:rsid w:val="00A27CAC"/>
    <w:rsid w:val="00A31A47"/>
    <w:rsid w:val="00A353D5"/>
    <w:rsid w:val="00A42A79"/>
    <w:rsid w:val="00A447AB"/>
    <w:rsid w:val="00A45561"/>
    <w:rsid w:val="00A45732"/>
    <w:rsid w:val="00A52176"/>
    <w:rsid w:val="00A53DCF"/>
    <w:rsid w:val="00A55515"/>
    <w:rsid w:val="00A57079"/>
    <w:rsid w:val="00A57CB3"/>
    <w:rsid w:val="00A6593D"/>
    <w:rsid w:val="00A70559"/>
    <w:rsid w:val="00A70CCF"/>
    <w:rsid w:val="00A71EAD"/>
    <w:rsid w:val="00A72F44"/>
    <w:rsid w:val="00A73EE2"/>
    <w:rsid w:val="00A74146"/>
    <w:rsid w:val="00A76405"/>
    <w:rsid w:val="00A816AD"/>
    <w:rsid w:val="00A82F9E"/>
    <w:rsid w:val="00A87554"/>
    <w:rsid w:val="00A91ED3"/>
    <w:rsid w:val="00A92F77"/>
    <w:rsid w:val="00A93C8D"/>
    <w:rsid w:val="00A94299"/>
    <w:rsid w:val="00AA0E9A"/>
    <w:rsid w:val="00AA1FC0"/>
    <w:rsid w:val="00AA2129"/>
    <w:rsid w:val="00AB3445"/>
    <w:rsid w:val="00AB3772"/>
    <w:rsid w:val="00AB38F4"/>
    <w:rsid w:val="00AB4B5D"/>
    <w:rsid w:val="00AC2BD8"/>
    <w:rsid w:val="00AC59C7"/>
    <w:rsid w:val="00AC71DE"/>
    <w:rsid w:val="00AC7252"/>
    <w:rsid w:val="00AD6945"/>
    <w:rsid w:val="00AF18A2"/>
    <w:rsid w:val="00AF5A4D"/>
    <w:rsid w:val="00AF6933"/>
    <w:rsid w:val="00B020F8"/>
    <w:rsid w:val="00B0787F"/>
    <w:rsid w:val="00B07F71"/>
    <w:rsid w:val="00B11C7D"/>
    <w:rsid w:val="00B12814"/>
    <w:rsid w:val="00B12BA0"/>
    <w:rsid w:val="00B138F1"/>
    <w:rsid w:val="00B16EB0"/>
    <w:rsid w:val="00B2166E"/>
    <w:rsid w:val="00B2370B"/>
    <w:rsid w:val="00B237D3"/>
    <w:rsid w:val="00B34244"/>
    <w:rsid w:val="00B36BD0"/>
    <w:rsid w:val="00B46A71"/>
    <w:rsid w:val="00B47EBA"/>
    <w:rsid w:val="00B56500"/>
    <w:rsid w:val="00B71BCE"/>
    <w:rsid w:val="00B736F6"/>
    <w:rsid w:val="00B73901"/>
    <w:rsid w:val="00B74E68"/>
    <w:rsid w:val="00B764DB"/>
    <w:rsid w:val="00B77F0B"/>
    <w:rsid w:val="00B80684"/>
    <w:rsid w:val="00B8334E"/>
    <w:rsid w:val="00B836D2"/>
    <w:rsid w:val="00B850BE"/>
    <w:rsid w:val="00B90A6E"/>
    <w:rsid w:val="00B935E6"/>
    <w:rsid w:val="00BA3ED5"/>
    <w:rsid w:val="00BA7C57"/>
    <w:rsid w:val="00BA7D6B"/>
    <w:rsid w:val="00BB2A74"/>
    <w:rsid w:val="00BB5895"/>
    <w:rsid w:val="00BC0EA3"/>
    <w:rsid w:val="00BD3E21"/>
    <w:rsid w:val="00BD527D"/>
    <w:rsid w:val="00BD78ED"/>
    <w:rsid w:val="00BE2DE4"/>
    <w:rsid w:val="00BE776B"/>
    <w:rsid w:val="00BE7D11"/>
    <w:rsid w:val="00BF4049"/>
    <w:rsid w:val="00BF4E22"/>
    <w:rsid w:val="00BF4ECA"/>
    <w:rsid w:val="00C02451"/>
    <w:rsid w:val="00C12124"/>
    <w:rsid w:val="00C12852"/>
    <w:rsid w:val="00C23033"/>
    <w:rsid w:val="00C246FB"/>
    <w:rsid w:val="00C26D91"/>
    <w:rsid w:val="00C33A80"/>
    <w:rsid w:val="00C34D37"/>
    <w:rsid w:val="00C35BAE"/>
    <w:rsid w:val="00C4015C"/>
    <w:rsid w:val="00C43FCE"/>
    <w:rsid w:val="00C4435D"/>
    <w:rsid w:val="00C475DE"/>
    <w:rsid w:val="00C47D97"/>
    <w:rsid w:val="00C51E3B"/>
    <w:rsid w:val="00C52FD8"/>
    <w:rsid w:val="00C534B4"/>
    <w:rsid w:val="00C56AF6"/>
    <w:rsid w:val="00C570EB"/>
    <w:rsid w:val="00C6141D"/>
    <w:rsid w:val="00C65B22"/>
    <w:rsid w:val="00C71E4E"/>
    <w:rsid w:val="00C73D71"/>
    <w:rsid w:val="00C749F3"/>
    <w:rsid w:val="00C77280"/>
    <w:rsid w:val="00C776EB"/>
    <w:rsid w:val="00C77B4D"/>
    <w:rsid w:val="00C818DC"/>
    <w:rsid w:val="00C851EF"/>
    <w:rsid w:val="00C85C59"/>
    <w:rsid w:val="00C86EE3"/>
    <w:rsid w:val="00C9239B"/>
    <w:rsid w:val="00C973B4"/>
    <w:rsid w:val="00CA3FDF"/>
    <w:rsid w:val="00CA6468"/>
    <w:rsid w:val="00CA65C4"/>
    <w:rsid w:val="00CA7D0E"/>
    <w:rsid w:val="00CB0DC8"/>
    <w:rsid w:val="00CB20C9"/>
    <w:rsid w:val="00CB5927"/>
    <w:rsid w:val="00CB7814"/>
    <w:rsid w:val="00CC0832"/>
    <w:rsid w:val="00CC2B35"/>
    <w:rsid w:val="00CC456C"/>
    <w:rsid w:val="00CC7389"/>
    <w:rsid w:val="00CD130B"/>
    <w:rsid w:val="00CE0533"/>
    <w:rsid w:val="00CE2DC7"/>
    <w:rsid w:val="00CE6008"/>
    <w:rsid w:val="00CF0EB6"/>
    <w:rsid w:val="00CF145D"/>
    <w:rsid w:val="00D053D0"/>
    <w:rsid w:val="00D06E34"/>
    <w:rsid w:val="00D10AE3"/>
    <w:rsid w:val="00D1457E"/>
    <w:rsid w:val="00D16747"/>
    <w:rsid w:val="00D17EF0"/>
    <w:rsid w:val="00D23264"/>
    <w:rsid w:val="00D31912"/>
    <w:rsid w:val="00D3584A"/>
    <w:rsid w:val="00D430A5"/>
    <w:rsid w:val="00D43584"/>
    <w:rsid w:val="00D43A9F"/>
    <w:rsid w:val="00D44AD7"/>
    <w:rsid w:val="00D472E1"/>
    <w:rsid w:val="00D543AD"/>
    <w:rsid w:val="00D55B76"/>
    <w:rsid w:val="00D563D4"/>
    <w:rsid w:val="00D56AC2"/>
    <w:rsid w:val="00D60D78"/>
    <w:rsid w:val="00D62CAB"/>
    <w:rsid w:val="00D668F6"/>
    <w:rsid w:val="00D73AC6"/>
    <w:rsid w:val="00D7629E"/>
    <w:rsid w:val="00D768BD"/>
    <w:rsid w:val="00D8079E"/>
    <w:rsid w:val="00D82C67"/>
    <w:rsid w:val="00D85DDE"/>
    <w:rsid w:val="00D9211B"/>
    <w:rsid w:val="00D94510"/>
    <w:rsid w:val="00D96059"/>
    <w:rsid w:val="00DA0D4F"/>
    <w:rsid w:val="00DA3C16"/>
    <w:rsid w:val="00DA3EBC"/>
    <w:rsid w:val="00DA5000"/>
    <w:rsid w:val="00DB0B98"/>
    <w:rsid w:val="00DB2A10"/>
    <w:rsid w:val="00DB30C3"/>
    <w:rsid w:val="00DB4AD2"/>
    <w:rsid w:val="00DB5F83"/>
    <w:rsid w:val="00DC16AB"/>
    <w:rsid w:val="00DC3C27"/>
    <w:rsid w:val="00DD29D0"/>
    <w:rsid w:val="00DD2F7C"/>
    <w:rsid w:val="00DD302B"/>
    <w:rsid w:val="00DD447A"/>
    <w:rsid w:val="00DE21F8"/>
    <w:rsid w:val="00DE3802"/>
    <w:rsid w:val="00DE434C"/>
    <w:rsid w:val="00DE7CFD"/>
    <w:rsid w:val="00DE7E34"/>
    <w:rsid w:val="00DF3C58"/>
    <w:rsid w:val="00DF6F32"/>
    <w:rsid w:val="00DF7A8C"/>
    <w:rsid w:val="00E020F1"/>
    <w:rsid w:val="00E02850"/>
    <w:rsid w:val="00E03CD8"/>
    <w:rsid w:val="00E1438A"/>
    <w:rsid w:val="00E17C2A"/>
    <w:rsid w:val="00E20D64"/>
    <w:rsid w:val="00E24B27"/>
    <w:rsid w:val="00E24F1B"/>
    <w:rsid w:val="00E264EB"/>
    <w:rsid w:val="00E2658A"/>
    <w:rsid w:val="00E33384"/>
    <w:rsid w:val="00E335E5"/>
    <w:rsid w:val="00E346A1"/>
    <w:rsid w:val="00E35CE5"/>
    <w:rsid w:val="00E3788E"/>
    <w:rsid w:val="00E37B91"/>
    <w:rsid w:val="00E4278D"/>
    <w:rsid w:val="00E44B37"/>
    <w:rsid w:val="00E46096"/>
    <w:rsid w:val="00E50694"/>
    <w:rsid w:val="00E53B7E"/>
    <w:rsid w:val="00E54854"/>
    <w:rsid w:val="00E60E31"/>
    <w:rsid w:val="00E67B07"/>
    <w:rsid w:val="00E70C67"/>
    <w:rsid w:val="00E70D04"/>
    <w:rsid w:val="00E72E9A"/>
    <w:rsid w:val="00E7416A"/>
    <w:rsid w:val="00E74A0D"/>
    <w:rsid w:val="00E86531"/>
    <w:rsid w:val="00E8668B"/>
    <w:rsid w:val="00E87B15"/>
    <w:rsid w:val="00E9048F"/>
    <w:rsid w:val="00E918C6"/>
    <w:rsid w:val="00E960C6"/>
    <w:rsid w:val="00EA40EF"/>
    <w:rsid w:val="00EA415D"/>
    <w:rsid w:val="00EA6D6D"/>
    <w:rsid w:val="00EB1136"/>
    <w:rsid w:val="00EB289E"/>
    <w:rsid w:val="00EB68B3"/>
    <w:rsid w:val="00EC0480"/>
    <w:rsid w:val="00EC0829"/>
    <w:rsid w:val="00EC3FFF"/>
    <w:rsid w:val="00EC4781"/>
    <w:rsid w:val="00EC5992"/>
    <w:rsid w:val="00EC6D6B"/>
    <w:rsid w:val="00ED2680"/>
    <w:rsid w:val="00ED6B3F"/>
    <w:rsid w:val="00EE2708"/>
    <w:rsid w:val="00EE3A83"/>
    <w:rsid w:val="00EE67A5"/>
    <w:rsid w:val="00EE7A23"/>
    <w:rsid w:val="00EF1D52"/>
    <w:rsid w:val="00EF32FE"/>
    <w:rsid w:val="00EF6C70"/>
    <w:rsid w:val="00F0046F"/>
    <w:rsid w:val="00F01A0C"/>
    <w:rsid w:val="00F02EEE"/>
    <w:rsid w:val="00F02F12"/>
    <w:rsid w:val="00F034C3"/>
    <w:rsid w:val="00F1071C"/>
    <w:rsid w:val="00F116BC"/>
    <w:rsid w:val="00F12606"/>
    <w:rsid w:val="00F14AC4"/>
    <w:rsid w:val="00F21322"/>
    <w:rsid w:val="00F22676"/>
    <w:rsid w:val="00F231A9"/>
    <w:rsid w:val="00F24AEE"/>
    <w:rsid w:val="00F26632"/>
    <w:rsid w:val="00F31C66"/>
    <w:rsid w:val="00F35A28"/>
    <w:rsid w:val="00F3704F"/>
    <w:rsid w:val="00F41020"/>
    <w:rsid w:val="00F4257D"/>
    <w:rsid w:val="00F42CEF"/>
    <w:rsid w:val="00F50347"/>
    <w:rsid w:val="00F6332D"/>
    <w:rsid w:val="00F63AA0"/>
    <w:rsid w:val="00F66A3D"/>
    <w:rsid w:val="00F70BDE"/>
    <w:rsid w:val="00F778E1"/>
    <w:rsid w:val="00F832AD"/>
    <w:rsid w:val="00F841B2"/>
    <w:rsid w:val="00F85F3B"/>
    <w:rsid w:val="00F86A39"/>
    <w:rsid w:val="00F86A6A"/>
    <w:rsid w:val="00FA18E0"/>
    <w:rsid w:val="00FA4C6B"/>
    <w:rsid w:val="00FA6065"/>
    <w:rsid w:val="00FA6991"/>
    <w:rsid w:val="00FA74BC"/>
    <w:rsid w:val="00FB0709"/>
    <w:rsid w:val="00FC3E2C"/>
    <w:rsid w:val="00FC65D5"/>
    <w:rsid w:val="00FD0803"/>
    <w:rsid w:val="00FD1B1D"/>
    <w:rsid w:val="00FD22AD"/>
    <w:rsid w:val="00FD2714"/>
    <w:rsid w:val="00FD4201"/>
    <w:rsid w:val="00FD5ABF"/>
    <w:rsid w:val="00FE2202"/>
    <w:rsid w:val="00FE51E9"/>
    <w:rsid w:val="00FF2AFA"/>
    <w:rsid w:val="00FF3122"/>
    <w:rsid w:val="00FF3EF6"/>
    <w:rsid w:val="0788C5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B141"/>
  <w15:chartTrackingRefBased/>
  <w15:docId w15:val="{7473B6AD-F334-41FA-AB36-0424D855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15C1"/>
    <w:pPr>
      <w:spacing w:after="0" w:line="240" w:lineRule="auto"/>
    </w:pPr>
    <w:rPr>
      <w:rFonts w:ascii="Times" w:eastAsia="Times" w:hAnsi="Times" w:cs="Times New Roman"/>
      <w:kern w:val="0"/>
      <w:sz w:val="24"/>
      <w:szCs w:val="20"/>
      <w:lang w:val="en-GB" w:eastAsia="en-GB"/>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415C1"/>
    <w:rPr>
      <w:color w:val="0000FF"/>
      <w:u w:val="single"/>
    </w:rPr>
  </w:style>
  <w:style w:type="paragraph" w:styleId="Pidipagina">
    <w:name w:val="footer"/>
    <w:basedOn w:val="Normale"/>
    <w:link w:val="PidipaginaCarattere"/>
    <w:rsid w:val="003415C1"/>
    <w:pPr>
      <w:tabs>
        <w:tab w:val="center" w:pos="4536"/>
        <w:tab w:val="right" w:pos="9072"/>
      </w:tabs>
    </w:pPr>
  </w:style>
  <w:style w:type="character" w:customStyle="1" w:styleId="PidipaginaCarattere">
    <w:name w:val="Piè di pagina Carattere"/>
    <w:basedOn w:val="Carpredefinitoparagrafo"/>
    <w:link w:val="Pidipagina"/>
    <w:rsid w:val="003415C1"/>
    <w:rPr>
      <w:rFonts w:ascii="Times" w:eastAsia="Times" w:hAnsi="Times" w:cs="Times New Roman"/>
      <w:kern w:val="0"/>
      <w:sz w:val="24"/>
      <w:szCs w:val="20"/>
      <w:lang w:val="en-GB" w:eastAsia="en-GB" w:bidi="en-GB"/>
      <w14:ligatures w14:val="none"/>
    </w:rPr>
  </w:style>
  <w:style w:type="character" w:styleId="Numeropagina">
    <w:name w:val="page number"/>
    <w:basedOn w:val="Carpredefinitoparagrafo"/>
    <w:rsid w:val="003415C1"/>
  </w:style>
  <w:style w:type="paragraph" w:styleId="Intestazione">
    <w:name w:val="header"/>
    <w:basedOn w:val="Normale"/>
    <w:link w:val="IntestazioneCarattere"/>
    <w:rsid w:val="003415C1"/>
    <w:pPr>
      <w:tabs>
        <w:tab w:val="center" w:pos="4536"/>
        <w:tab w:val="right" w:pos="9072"/>
      </w:tabs>
    </w:pPr>
  </w:style>
  <w:style w:type="character" w:customStyle="1" w:styleId="IntestazioneCarattere">
    <w:name w:val="Intestazione Carattere"/>
    <w:basedOn w:val="Carpredefinitoparagrafo"/>
    <w:link w:val="Intestazione"/>
    <w:rsid w:val="003415C1"/>
    <w:rPr>
      <w:rFonts w:ascii="Times" w:eastAsia="Times" w:hAnsi="Times" w:cs="Times New Roman"/>
      <w:kern w:val="0"/>
      <w:sz w:val="24"/>
      <w:szCs w:val="20"/>
      <w:lang w:val="en-GB" w:eastAsia="en-GB" w:bidi="en-GB"/>
      <w14:ligatures w14:val="none"/>
    </w:rPr>
  </w:style>
  <w:style w:type="paragraph" w:styleId="Paragrafoelenco">
    <w:name w:val="List Paragraph"/>
    <w:basedOn w:val="Normale"/>
    <w:link w:val="ParagrafoelencoCarattere"/>
    <w:uiPriority w:val="34"/>
    <w:qFormat/>
    <w:rsid w:val="003415C1"/>
    <w:pPr>
      <w:ind w:left="720"/>
    </w:pPr>
    <w:rPr>
      <w:rFonts w:ascii="Calibri" w:eastAsia="Calibri" w:hAnsi="Calibri" w:cs="Calibri"/>
      <w:sz w:val="22"/>
      <w:szCs w:val="22"/>
    </w:rPr>
  </w:style>
  <w:style w:type="character" w:customStyle="1" w:styleId="ParagrafoelencoCarattere">
    <w:name w:val="Paragrafo elenco Carattere"/>
    <w:basedOn w:val="Carpredefinitoparagrafo"/>
    <w:link w:val="Paragrafoelenco"/>
    <w:uiPriority w:val="34"/>
    <w:locked/>
    <w:rsid w:val="003415C1"/>
    <w:rPr>
      <w:rFonts w:ascii="Calibri" w:eastAsia="Calibri" w:hAnsi="Calibri" w:cs="Calibri"/>
      <w:kern w:val="0"/>
      <w:lang w:val="en-GB" w:eastAsia="en-GB" w:bidi="en-GB"/>
      <w14:ligatures w14:val="none"/>
    </w:rPr>
  </w:style>
  <w:style w:type="character" w:customStyle="1" w:styleId="ts-alignment-element">
    <w:name w:val="ts-alignment-element"/>
    <w:basedOn w:val="Carpredefinitoparagrafo"/>
    <w:rsid w:val="00AB3445"/>
  </w:style>
  <w:style w:type="paragraph" w:customStyle="1" w:styleId="s9">
    <w:name w:val="s9"/>
    <w:basedOn w:val="Normale"/>
    <w:rsid w:val="00B0787F"/>
    <w:pPr>
      <w:spacing w:before="100" w:beforeAutospacing="1" w:after="100" w:afterAutospacing="1"/>
    </w:pPr>
    <w:rPr>
      <w:rFonts w:ascii="Calibri" w:eastAsiaTheme="minorHAnsi" w:hAnsi="Calibri" w:cs="Calibri"/>
      <w:sz w:val="22"/>
      <w:szCs w:val="22"/>
      <w:lang w:val="fr-FR" w:eastAsia="fr-FR"/>
    </w:rPr>
  </w:style>
  <w:style w:type="paragraph" w:customStyle="1" w:styleId="s4">
    <w:name w:val="s4"/>
    <w:basedOn w:val="Normale"/>
    <w:rsid w:val="00B0787F"/>
    <w:pPr>
      <w:spacing w:before="100" w:beforeAutospacing="1" w:after="100" w:afterAutospacing="1"/>
    </w:pPr>
    <w:rPr>
      <w:rFonts w:ascii="Calibri" w:eastAsiaTheme="minorHAnsi" w:hAnsi="Calibri" w:cs="Calibri"/>
      <w:sz w:val="22"/>
      <w:szCs w:val="22"/>
      <w:lang w:val="fr-FR" w:eastAsia="fr-FR"/>
    </w:rPr>
  </w:style>
  <w:style w:type="character" w:customStyle="1" w:styleId="bumpedfont17">
    <w:name w:val="bumpedfont17"/>
    <w:basedOn w:val="Carpredefinitoparagrafo"/>
    <w:rsid w:val="00B0787F"/>
  </w:style>
  <w:style w:type="character" w:styleId="Collegamentovisitato">
    <w:name w:val="FollowedHyperlink"/>
    <w:rsid w:val="00DE3802"/>
    <w:rPr>
      <w:color w:val="800080"/>
      <w:u w:val="single"/>
    </w:rPr>
  </w:style>
  <w:style w:type="paragraph" w:styleId="Revisione">
    <w:name w:val="Revision"/>
    <w:hidden/>
    <w:uiPriority w:val="99"/>
    <w:semiHidden/>
    <w:rsid w:val="00D31912"/>
    <w:pPr>
      <w:spacing w:after="0" w:line="240" w:lineRule="auto"/>
    </w:pPr>
    <w:rPr>
      <w:rFonts w:ascii="Times" w:eastAsia="Times" w:hAnsi="Times" w:cs="Times New Roman"/>
      <w:kern w:val="0"/>
      <w:sz w:val="24"/>
      <w:szCs w:val="20"/>
      <w:lang w:val="en-GB" w:eastAsia="en-GB" w:bidi="en-GB"/>
      <w14:ligatures w14:val="none"/>
    </w:rPr>
  </w:style>
  <w:style w:type="paragraph" w:styleId="NormaleWeb">
    <w:name w:val="Normal (Web)"/>
    <w:basedOn w:val="Normale"/>
    <w:uiPriority w:val="99"/>
    <w:semiHidden/>
    <w:unhideWhenUsed/>
    <w:rsid w:val="00480976"/>
    <w:pPr>
      <w:spacing w:before="100" w:beforeAutospacing="1" w:after="100" w:afterAutospacing="1"/>
    </w:pPr>
    <w:rPr>
      <w:rFonts w:ascii="Times New Roman" w:eastAsia="Times New Roman" w:hAnsi="Times New Roman"/>
      <w:szCs w:val="24"/>
      <w:lang w:val="es-ES" w:eastAsia="es-ES"/>
    </w:rPr>
  </w:style>
  <w:style w:type="paragraph" w:customStyle="1" w:styleId="p2">
    <w:name w:val="p2"/>
    <w:basedOn w:val="Normale"/>
    <w:rsid w:val="001325FE"/>
    <w:pPr>
      <w:spacing w:before="100" w:beforeAutospacing="1" w:after="100" w:afterAutospacing="1"/>
    </w:pPr>
    <w:rPr>
      <w:rFonts w:ascii="Calibri" w:eastAsiaTheme="minorHAnsi" w:hAnsi="Calibri" w:cs="Calibri"/>
      <w:sz w:val="22"/>
      <w:szCs w:val="22"/>
      <w:lang w:val="fr-FR" w:eastAsia="fr-FR"/>
    </w:rPr>
  </w:style>
  <w:style w:type="paragraph" w:customStyle="1" w:styleId="p3">
    <w:name w:val="p3"/>
    <w:basedOn w:val="Normale"/>
    <w:rsid w:val="001325FE"/>
    <w:pPr>
      <w:spacing w:before="100" w:beforeAutospacing="1" w:after="100" w:afterAutospacing="1"/>
    </w:pPr>
    <w:rPr>
      <w:rFonts w:ascii="Calibri" w:eastAsiaTheme="minorHAnsi" w:hAnsi="Calibri" w:cs="Calibri"/>
      <w:sz w:val="22"/>
      <w:szCs w:val="22"/>
      <w:lang w:val="fr-FR" w:eastAsia="fr-FR"/>
    </w:rPr>
  </w:style>
  <w:style w:type="character" w:customStyle="1" w:styleId="s2">
    <w:name w:val="s2"/>
    <w:basedOn w:val="Carpredefinitoparagrafo"/>
    <w:rsid w:val="001325FE"/>
  </w:style>
  <w:style w:type="character" w:customStyle="1" w:styleId="s3">
    <w:name w:val="s3"/>
    <w:basedOn w:val="Carpredefinitoparagrafo"/>
    <w:rsid w:val="001325FE"/>
  </w:style>
  <w:style w:type="character" w:customStyle="1" w:styleId="apple-converted-space">
    <w:name w:val="apple-converted-space"/>
    <w:basedOn w:val="Carpredefinitoparagrafo"/>
    <w:rsid w:val="001325FE"/>
  </w:style>
  <w:style w:type="paragraph" w:styleId="Testonotaapidipagina">
    <w:name w:val="footnote text"/>
    <w:basedOn w:val="Normale"/>
    <w:link w:val="TestonotaapidipaginaCarattere"/>
    <w:unhideWhenUsed/>
    <w:rsid w:val="004D709F"/>
    <w:rPr>
      <w:sz w:val="20"/>
    </w:rPr>
  </w:style>
  <w:style w:type="character" w:customStyle="1" w:styleId="TestonotaapidipaginaCarattere">
    <w:name w:val="Testo nota a piè di pagina Carattere"/>
    <w:basedOn w:val="Carpredefinitoparagrafo"/>
    <w:link w:val="Testonotaapidipagina"/>
    <w:rsid w:val="004D709F"/>
    <w:rPr>
      <w:rFonts w:ascii="Times" w:eastAsia="Times" w:hAnsi="Times" w:cs="Times New Roman"/>
      <w:kern w:val="0"/>
      <w:sz w:val="20"/>
      <w:szCs w:val="20"/>
      <w:lang w:val="en-GB" w:eastAsia="en-GB" w:bidi="en-GB"/>
      <w14:ligatures w14:val="none"/>
    </w:rPr>
  </w:style>
  <w:style w:type="character" w:styleId="Rimandonotaapidipagina">
    <w:name w:val="footnote reference"/>
    <w:basedOn w:val="Carpredefinitoparagrafo"/>
    <w:semiHidden/>
    <w:unhideWhenUsed/>
    <w:rsid w:val="004D709F"/>
    <w:rPr>
      <w:vertAlign w:val="superscript"/>
    </w:rPr>
  </w:style>
  <w:style w:type="character" w:styleId="Menzionenonrisolta">
    <w:name w:val="Unresolved Mention"/>
    <w:basedOn w:val="Carpredefinitoparagrafo"/>
    <w:uiPriority w:val="99"/>
    <w:semiHidden/>
    <w:unhideWhenUsed/>
    <w:rsid w:val="0082103B"/>
    <w:rPr>
      <w:color w:val="605E5C"/>
      <w:shd w:val="clear" w:color="auto" w:fill="E1DFDD"/>
    </w:rPr>
  </w:style>
  <w:style w:type="character" w:styleId="Enfasigrassetto">
    <w:name w:val="Strong"/>
    <w:basedOn w:val="Carpredefinitoparagrafo"/>
    <w:uiPriority w:val="22"/>
    <w:qFormat/>
    <w:rsid w:val="002047FB"/>
    <w:rPr>
      <w:b/>
      <w:bCs/>
    </w:rPr>
  </w:style>
  <w:style w:type="character" w:styleId="Rimandocommento">
    <w:name w:val="annotation reference"/>
    <w:basedOn w:val="Carpredefinitoparagrafo"/>
    <w:uiPriority w:val="99"/>
    <w:semiHidden/>
    <w:unhideWhenUsed/>
    <w:rsid w:val="00875D26"/>
    <w:rPr>
      <w:sz w:val="16"/>
      <w:szCs w:val="16"/>
    </w:rPr>
  </w:style>
  <w:style w:type="paragraph" w:styleId="Testocommento">
    <w:name w:val="annotation text"/>
    <w:basedOn w:val="Normale"/>
    <w:link w:val="TestocommentoCarattere"/>
    <w:uiPriority w:val="99"/>
    <w:unhideWhenUsed/>
    <w:rsid w:val="00875D26"/>
    <w:rPr>
      <w:sz w:val="20"/>
    </w:rPr>
  </w:style>
  <w:style w:type="character" w:customStyle="1" w:styleId="TestocommentoCarattere">
    <w:name w:val="Testo commento Carattere"/>
    <w:basedOn w:val="Carpredefinitoparagrafo"/>
    <w:link w:val="Testocommento"/>
    <w:uiPriority w:val="99"/>
    <w:rsid w:val="00875D26"/>
    <w:rPr>
      <w:rFonts w:ascii="Times" w:eastAsia="Times" w:hAnsi="Times" w:cs="Times New Roman"/>
      <w:kern w:val="0"/>
      <w:sz w:val="20"/>
      <w:szCs w:val="20"/>
      <w:lang w:val="en-GB" w:eastAsia="en-GB" w:bidi="en-GB"/>
      <w14:ligatures w14:val="none"/>
    </w:rPr>
  </w:style>
  <w:style w:type="paragraph" w:styleId="Soggettocommento">
    <w:name w:val="annotation subject"/>
    <w:basedOn w:val="Testocommento"/>
    <w:next w:val="Testocommento"/>
    <w:link w:val="SoggettocommentoCarattere"/>
    <w:uiPriority w:val="99"/>
    <w:semiHidden/>
    <w:unhideWhenUsed/>
    <w:rsid w:val="00875D26"/>
    <w:rPr>
      <w:b/>
      <w:bCs/>
    </w:rPr>
  </w:style>
  <w:style w:type="character" w:customStyle="1" w:styleId="SoggettocommentoCarattere">
    <w:name w:val="Soggetto commento Carattere"/>
    <w:basedOn w:val="TestocommentoCarattere"/>
    <w:link w:val="Soggettocommento"/>
    <w:uiPriority w:val="99"/>
    <w:semiHidden/>
    <w:rsid w:val="00875D26"/>
    <w:rPr>
      <w:rFonts w:ascii="Times" w:eastAsia="Times" w:hAnsi="Times" w:cs="Times New Roman"/>
      <w:b/>
      <w:bCs/>
      <w:kern w:val="0"/>
      <w:sz w:val="20"/>
      <w:szCs w:val="20"/>
      <w:lang w:val="en-GB" w:eastAsia="en-GB" w:bidi="en-GB"/>
      <w14:ligatures w14:val="none"/>
    </w:rPr>
  </w:style>
  <w:style w:type="character" w:customStyle="1" w:styleId="normaltextrun">
    <w:name w:val="normaltextrun"/>
    <w:basedOn w:val="Carpredefinitoparagrafo"/>
    <w:rsid w:val="00594312"/>
  </w:style>
  <w:style w:type="character" w:customStyle="1" w:styleId="scxw99653704">
    <w:name w:val="scxw99653704"/>
    <w:basedOn w:val="Carpredefinitoparagrafo"/>
    <w:rsid w:val="00594312"/>
  </w:style>
  <w:style w:type="paragraph" w:styleId="Nessunaspaziatura">
    <w:name w:val="No Spacing"/>
    <w:basedOn w:val="Normale"/>
    <w:uiPriority w:val="1"/>
    <w:qFormat/>
    <w:rsid w:val="00CC2B35"/>
    <w:rPr>
      <w:rFonts w:ascii="Calibri" w:eastAsiaTheme="minorHAnsi" w:hAnsi="Calibri" w:cs="Calibri"/>
      <w:sz w:val="22"/>
      <w:szCs w:val="22"/>
      <w:lang w:val="fr-FR" w:eastAsia="fr-FR"/>
    </w:rPr>
  </w:style>
  <w:style w:type="paragraph" w:styleId="Corpotesto">
    <w:name w:val="Body Text"/>
    <w:basedOn w:val="Normale"/>
    <w:link w:val="CorpotestoCarattere"/>
    <w:uiPriority w:val="1"/>
    <w:qFormat/>
    <w:rsid w:val="00E264EB"/>
    <w:pPr>
      <w:jc w:val="both"/>
    </w:pPr>
    <w:rPr>
      <w:rFonts w:ascii="Arial" w:eastAsia="Times New Roman" w:hAnsi="Arial"/>
    </w:rPr>
  </w:style>
  <w:style w:type="character" w:customStyle="1" w:styleId="CorpotestoCarattere">
    <w:name w:val="Corpo testo Carattere"/>
    <w:basedOn w:val="Carpredefinitoparagrafo"/>
    <w:link w:val="Corpotesto"/>
    <w:uiPriority w:val="1"/>
    <w:rsid w:val="00E264EB"/>
    <w:rPr>
      <w:rFonts w:ascii="Arial" w:eastAsia="Times New Roman" w:hAnsi="Arial" w:cs="Times New Roman"/>
      <w:kern w:val="0"/>
      <w:sz w:val="24"/>
      <w:szCs w:val="20"/>
      <w:lang w:val="en-GB" w:eastAsia="en-GB" w:bidi="en-GB"/>
      <w14:ligatures w14:val="none"/>
    </w:rPr>
  </w:style>
  <w:style w:type="table" w:styleId="Grigliatabella">
    <w:name w:val="Table Grid"/>
    <w:basedOn w:val="Tabellanormale"/>
    <w:rsid w:val="00E264EB"/>
    <w:pPr>
      <w:spacing w:after="0" w:line="240" w:lineRule="auto"/>
    </w:pPr>
    <w:rPr>
      <w:rFonts w:ascii="Times New Roman" w:eastAsia="Times New Roman" w:hAnsi="Times New Roman" w:cs="Times New Roman"/>
      <w:kern w:val="0"/>
      <w:sz w:val="20"/>
      <w:szCs w:val="20"/>
      <w:lang w:val="en-GB" w:eastAsia="en-GB" w:bidi="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61">
    <w:name w:val="Titre 61"/>
    <w:aliases w:val="h6,heading 6"/>
    <w:basedOn w:val="Normale"/>
    <w:next w:val="Normale"/>
    <w:rsid w:val="00E264EB"/>
    <w:pPr>
      <w:keepNext/>
      <w:widowControl w:val="0"/>
      <w:tabs>
        <w:tab w:val="num" w:pos="360"/>
        <w:tab w:val="num" w:pos="4320"/>
      </w:tabs>
      <w:autoSpaceDE w:val="0"/>
      <w:autoSpaceDN w:val="0"/>
      <w:adjustRightInd w:val="0"/>
      <w:spacing w:after="100"/>
      <w:outlineLvl w:val="5"/>
    </w:pPr>
    <w:rPr>
      <w:rFonts w:ascii="Garamond" w:eastAsia="Times New Roman" w:hAnsi="Garamond" w:cs="Garamond"/>
      <w:b/>
      <w:bCs/>
      <w:i/>
      <w:iCs/>
      <w:sz w:val="19"/>
      <w:szCs w:val="19"/>
    </w:rPr>
  </w:style>
  <w:style w:type="character" w:styleId="Testosegnaposto">
    <w:name w:val="Placeholder Text"/>
    <w:basedOn w:val="Carpredefinitoparagrafo"/>
    <w:uiPriority w:val="99"/>
    <w:semiHidden/>
    <w:rsid w:val="00704B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680">
      <w:bodyDiv w:val="1"/>
      <w:marLeft w:val="0"/>
      <w:marRight w:val="0"/>
      <w:marTop w:val="0"/>
      <w:marBottom w:val="0"/>
      <w:divBdr>
        <w:top w:val="none" w:sz="0" w:space="0" w:color="auto"/>
        <w:left w:val="none" w:sz="0" w:space="0" w:color="auto"/>
        <w:bottom w:val="none" w:sz="0" w:space="0" w:color="auto"/>
        <w:right w:val="none" w:sz="0" w:space="0" w:color="auto"/>
      </w:divBdr>
    </w:div>
    <w:div w:id="490409391">
      <w:bodyDiv w:val="1"/>
      <w:marLeft w:val="0"/>
      <w:marRight w:val="0"/>
      <w:marTop w:val="0"/>
      <w:marBottom w:val="0"/>
      <w:divBdr>
        <w:top w:val="none" w:sz="0" w:space="0" w:color="auto"/>
        <w:left w:val="none" w:sz="0" w:space="0" w:color="auto"/>
        <w:bottom w:val="none" w:sz="0" w:space="0" w:color="auto"/>
        <w:right w:val="none" w:sz="0" w:space="0" w:color="auto"/>
      </w:divBdr>
    </w:div>
    <w:div w:id="495800855">
      <w:bodyDiv w:val="1"/>
      <w:marLeft w:val="0"/>
      <w:marRight w:val="0"/>
      <w:marTop w:val="0"/>
      <w:marBottom w:val="0"/>
      <w:divBdr>
        <w:top w:val="none" w:sz="0" w:space="0" w:color="auto"/>
        <w:left w:val="none" w:sz="0" w:space="0" w:color="auto"/>
        <w:bottom w:val="none" w:sz="0" w:space="0" w:color="auto"/>
        <w:right w:val="none" w:sz="0" w:space="0" w:color="auto"/>
      </w:divBdr>
    </w:div>
    <w:div w:id="730543844">
      <w:bodyDiv w:val="1"/>
      <w:marLeft w:val="0"/>
      <w:marRight w:val="0"/>
      <w:marTop w:val="0"/>
      <w:marBottom w:val="0"/>
      <w:divBdr>
        <w:top w:val="none" w:sz="0" w:space="0" w:color="auto"/>
        <w:left w:val="none" w:sz="0" w:space="0" w:color="auto"/>
        <w:bottom w:val="none" w:sz="0" w:space="0" w:color="auto"/>
        <w:right w:val="none" w:sz="0" w:space="0" w:color="auto"/>
      </w:divBdr>
    </w:div>
    <w:div w:id="954019890">
      <w:bodyDiv w:val="1"/>
      <w:marLeft w:val="0"/>
      <w:marRight w:val="0"/>
      <w:marTop w:val="0"/>
      <w:marBottom w:val="0"/>
      <w:divBdr>
        <w:top w:val="none" w:sz="0" w:space="0" w:color="auto"/>
        <w:left w:val="none" w:sz="0" w:space="0" w:color="auto"/>
        <w:bottom w:val="none" w:sz="0" w:space="0" w:color="auto"/>
        <w:right w:val="none" w:sz="0" w:space="0" w:color="auto"/>
      </w:divBdr>
    </w:div>
    <w:div w:id="1252817365">
      <w:bodyDiv w:val="1"/>
      <w:marLeft w:val="0"/>
      <w:marRight w:val="0"/>
      <w:marTop w:val="0"/>
      <w:marBottom w:val="0"/>
      <w:divBdr>
        <w:top w:val="none" w:sz="0" w:space="0" w:color="auto"/>
        <w:left w:val="none" w:sz="0" w:space="0" w:color="auto"/>
        <w:bottom w:val="none" w:sz="0" w:space="0" w:color="auto"/>
        <w:right w:val="none" w:sz="0" w:space="0" w:color="auto"/>
      </w:divBdr>
      <w:divsChild>
        <w:div w:id="1722367796">
          <w:marLeft w:val="0"/>
          <w:marRight w:val="0"/>
          <w:marTop w:val="0"/>
          <w:marBottom w:val="0"/>
          <w:divBdr>
            <w:top w:val="none" w:sz="0" w:space="0" w:color="auto"/>
            <w:left w:val="none" w:sz="0" w:space="0" w:color="auto"/>
            <w:bottom w:val="none" w:sz="0" w:space="0" w:color="auto"/>
            <w:right w:val="none" w:sz="0" w:space="0" w:color="auto"/>
          </w:divBdr>
          <w:divsChild>
            <w:div w:id="50464087">
              <w:marLeft w:val="0"/>
              <w:marRight w:val="0"/>
              <w:marTop w:val="0"/>
              <w:marBottom w:val="0"/>
              <w:divBdr>
                <w:top w:val="none" w:sz="0" w:space="0" w:color="auto"/>
                <w:left w:val="none" w:sz="0" w:space="0" w:color="auto"/>
                <w:bottom w:val="none" w:sz="0" w:space="0" w:color="auto"/>
                <w:right w:val="none" w:sz="0" w:space="0" w:color="auto"/>
              </w:divBdr>
              <w:divsChild>
                <w:div w:id="761415702">
                  <w:marLeft w:val="0"/>
                  <w:marRight w:val="0"/>
                  <w:marTop w:val="0"/>
                  <w:marBottom w:val="0"/>
                  <w:divBdr>
                    <w:top w:val="none" w:sz="0" w:space="0" w:color="auto"/>
                    <w:left w:val="none" w:sz="0" w:space="0" w:color="auto"/>
                    <w:bottom w:val="none" w:sz="0" w:space="0" w:color="auto"/>
                    <w:right w:val="none" w:sz="0" w:space="0" w:color="auto"/>
                  </w:divBdr>
                  <w:divsChild>
                    <w:div w:id="1274435424">
                      <w:marLeft w:val="0"/>
                      <w:marRight w:val="0"/>
                      <w:marTop w:val="0"/>
                      <w:marBottom w:val="0"/>
                      <w:divBdr>
                        <w:top w:val="none" w:sz="0" w:space="0" w:color="auto"/>
                        <w:left w:val="none" w:sz="0" w:space="0" w:color="auto"/>
                        <w:bottom w:val="none" w:sz="0" w:space="0" w:color="auto"/>
                        <w:right w:val="none" w:sz="0" w:space="0" w:color="auto"/>
                      </w:divBdr>
                      <w:divsChild>
                        <w:div w:id="702365963">
                          <w:marLeft w:val="0"/>
                          <w:marRight w:val="0"/>
                          <w:marTop w:val="0"/>
                          <w:marBottom w:val="0"/>
                          <w:divBdr>
                            <w:top w:val="none" w:sz="0" w:space="0" w:color="auto"/>
                            <w:left w:val="none" w:sz="0" w:space="0" w:color="auto"/>
                            <w:bottom w:val="none" w:sz="0" w:space="0" w:color="auto"/>
                            <w:right w:val="none" w:sz="0" w:space="0" w:color="auto"/>
                          </w:divBdr>
                          <w:divsChild>
                            <w:div w:id="1518543388">
                              <w:marLeft w:val="0"/>
                              <w:marRight w:val="0"/>
                              <w:marTop w:val="0"/>
                              <w:marBottom w:val="0"/>
                              <w:divBdr>
                                <w:top w:val="none" w:sz="0" w:space="0" w:color="auto"/>
                                <w:left w:val="none" w:sz="0" w:space="0" w:color="auto"/>
                                <w:bottom w:val="none" w:sz="0" w:space="0" w:color="auto"/>
                                <w:right w:val="none" w:sz="0" w:space="0" w:color="auto"/>
                              </w:divBdr>
                              <w:divsChild>
                                <w:div w:id="37752225">
                                  <w:marLeft w:val="0"/>
                                  <w:marRight w:val="0"/>
                                  <w:marTop w:val="0"/>
                                  <w:marBottom w:val="0"/>
                                  <w:divBdr>
                                    <w:top w:val="none" w:sz="0" w:space="0" w:color="auto"/>
                                    <w:left w:val="none" w:sz="0" w:space="0" w:color="auto"/>
                                    <w:bottom w:val="none" w:sz="0" w:space="0" w:color="auto"/>
                                    <w:right w:val="none" w:sz="0" w:space="0" w:color="auto"/>
                                  </w:divBdr>
                                  <w:divsChild>
                                    <w:div w:id="1493645076">
                                      <w:marLeft w:val="0"/>
                                      <w:marRight w:val="0"/>
                                      <w:marTop w:val="0"/>
                                      <w:marBottom w:val="0"/>
                                      <w:divBdr>
                                        <w:top w:val="none" w:sz="0" w:space="0" w:color="auto"/>
                                        <w:left w:val="none" w:sz="0" w:space="0" w:color="auto"/>
                                        <w:bottom w:val="none" w:sz="0" w:space="0" w:color="auto"/>
                                        <w:right w:val="none" w:sz="0" w:space="0" w:color="auto"/>
                                      </w:divBdr>
                                      <w:divsChild>
                                        <w:div w:id="801995046">
                                          <w:marLeft w:val="0"/>
                                          <w:marRight w:val="0"/>
                                          <w:marTop w:val="0"/>
                                          <w:marBottom w:val="0"/>
                                          <w:divBdr>
                                            <w:top w:val="none" w:sz="0" w:space="0" w:color="auto"/>
                                            <w:left w:val="none" w:sz="0" w:space="0" w:color="auto"/>
                                            <w:bottom w:val="none" w:sz="0" w:space="0" w:color="auto"/>
                                            <w:right w:val="none" w:sz="0" w:space="0" w:color="auto"/>
                                          </w:divBdr>
                                          <w:divsChild>
                                            <w:div w:id="560167055">
                                              <w:marLeft w:val="0"/>
                                              <w:marRight w:val="0"/>
                                              <w:marTop w:val="0"/>
                                              <w:marBottom w:val="0"/>
                                              <w:divBdr>
                                                <w:top w:val="none" w:sz="0" w:space="0" w:color="auto"/>
                                                <w:left w:val="none" w:sz="0" w:space="0" w:color="auto"/>
                                                <w:bottom w:val="none" w:sz="0" w:space="0" w:color="auto"/>
                                                <w:right w:val="none" w:sz="0" w:space="0" w:color="auto"/>
                                              </w:divBdr>
                                              <w:divsChild>
                                                <w:div w:id="1460106299">
                                                  <w:marLeft w:val="0"/>
                                                  <w:marRight w:val="0"/>
                                                  <w:marTop w:val="0"/>
                                                  <w:marBottom w:val="0"/>
                                                  <w:divBdr>
                                                    <w:top w:val="none" w:sz="0" w:space="0" w:color="auto"/>
                                                    <w:left w:val="none" w:sz="0" w:space="0" w:color="auto"/>
                                                    <w:bottom w:val="none" w:sz="0" w:space="0" w:color="auto"/>
                                                    <w:right w:val="none" w:sz="0" w:space="0" w:color="auto"/>
                                                  </w:divBdr>
                                                  <w:divsChild>
                                                    <w:div w:id="2072919747">
                                                      <w:marLeft w:val="0"/>
                                                      <w:marRight w:val="0"/>
                                                      <w:marTop w:val="0"/>
                                                      <w:marBottom w:val="0"/>
                                                      <w:divBdr>
                                                        <w:top w:val="none" w:sz="0" w:space="0" w:color="auto"/>
                                                        <w:left w:val="none" w:sz="0" w:space="0" w:color="auto"/>
                                                        <w:bottom w:val="none" w:sz="0" w:space="0" w:color="auto"/>
                                                        <w:right w:val="none" w:sz="0" w:space="0" w:color="auto"/>
                                                      </w:divBdr>
                                                      <w:divsChild>
                                                        <w:div w:id="1622610254">
                                                          <w:marLeft w:val="0"/>
                                                          <w:marRight w:val="0"/>
                                                          <w:marTop w:val="0"/>
                                                          <w:marBottom w:val="0"/>
                                                          <w:divBdr>
                                                            <w:top w:val="none" w:sz="0" w:space="0" w:color="auto"/>
                                                            <w:left w:val="none" w:sz="0" w:space="0" w:color="auto"/>
                                                            <w:bottom w:val="none" w:sz="0" w:space="0" w:color="auto"/>
                                                            <w:right w:val="none" w:sz="0" w:space="0" w:color="auto"/>
                                                          </w:divBdr>
                                                          <w:divsChild>
                                                            <w:div w:id="1515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018434">
      <w:bodyDiv w:val="1"/>
      <w:marLeft w:val="0"/>
      <w:marRight w:val="0"/>
      <w:marTop w:val="0"/>
      <w:marBottom w:val="0"/>
      <w:divBdr>
        <w:top w:val="none" w:sz="0" w:space="0" w:color="auto"/>
        <w:left w:val="none" w:sz="0" w:space="0" w:color="auto"/>
        <w:bottom w:val="none" w:sz="0" w:space="0" w:color="auto"/>
        <w:right w:val="none" w:sz="0" w:space="0" w:color="auto"/>
      </w:divBdr>
    </w:div>
    <w:div w:id="1657874076">
      <w:bodyDiv w:val="1"/>
      <w:marLeft w:val="0"/>
      <w:marRight w:val="0"/>
      <w:marTop w:val="0"/>
      <w:marBottom w:val="0"/>
      <w:divBdr>
        <w:top w:val="none" w:sz="0" w:space="0" w:color="auto"/>
        <w:left w:val="none" w:sz="0" w:space="0" w:color="auto"/>
        <w:bottom w:val="none" w:sz="0" w:space="0" w:color="auto"/>
        <w:right w:val="none" w:sz="0" w:space="0" w:color="auto"/>
      </w:divBdr>
      <w:divsChild>
        <w:div w:id="1388190564">
          <w:marLeft w:val="0"/>
          <w:marRight w:val="0"/>
          <w:marTop w:val="0"/>
          <w:marBottom w:val="0"/>
          <w:divBdr>
            <w:top w:val="none" w:sz="0" w:space="0" w:color="auto"/>
            <w:left w:val="none" w:sz="0" w:space="0" w:color="auto"/>
            <w:bottom w:val="none" w:sz="0" w:space="0" w:color="auto"/>
            <w:right w:val="none" w:sz="0" w:space="0" w:color="auto"/>
          </w:divBdr>
          <w:divsChild>
            <w:div w:id="1123843490">
              <w:marLeft w:val="0"/>
              <w:marRight w:val="0"/>
              <w:marTop w:val="0"/>
              <w:marBottom w:val="0"/>
              <w:divBdr>
                <w:top w:val="none" w:sz="0" w:space="0" w:color="auto"/>
                <w:left w:val="none" w:sz="0" w:space="0" w:color="auto"/>
                <w:bottom w:val="none" w:sz="0" w:space="0" w:color="auto"/>
                <w:right w:val="none" w:sz="0" w:space="0" w:color="auto"/>
              </w:divBdr>
              <w:divsChild>
                <w:div w:id="18043481">
                  <w:marLeft w:val="0"/>
                  <w:marRight w:val="0"/>
                  <w:marTop w:val="0"/>
                  <w:marBottom w:val="0"/>
                  <w:divBdr>
                    <w:top w:val="none" w:sz="0" w:space="0" w:color="auto"/>
                    <w:left w:val="none" w:sz="0" w:space="0" w:color="auto"/>
                    <w:bottom w:val="none" w:sz="0" w:space="0" w:color="auto"/>
                    <w:right w:val="none" w:sz="0" w:space="0" w:color="auto"/>
                  </w:divBdr>
                  <w:divsChild>
                    <w:div w:id="1851215123">
                      <w:marLeft w:val="0"/>
                      <w:marRight w:val="0"/>
                      <w:marTop w:val="0"/>
                      <w:marBottom w:val="0"/>
                      <w:divBdr>
                        <w:top w:val="none" w:sz="0" w:space="0" w:color="auto"/>
                        <w:left w:val="none" w:sz="0" w:space="0" w:color="auto"/>
                        <w:bottom w:val="none" w:sz="0" w:space="0" w:color="auto"/>
                        <w:right w:val="none" w:sz="0" w:space="0" w:color="auto"/>
                      </w:divBdr>
                      <w:divsChild>
                        <w:div w:id="1517115885">
                          <w:marLeft w:val="0"/>
                          <w:marRight w:val="0"/>
                          <w:marTop w:val="0"/>
                          <w:marBottom w:val="0"/>
                          <w:divBdr>
                            <w:top w:val="none" w:sz="0" w:space="0" w:color="auto"/>
                            <w:left w:val="none" w:sz="0" w:space="0" w:color="auto"/>
                            <w:bottom w:val="none" w:sz="0" w:space="0" w:color="auto"/>
                            <w:right w:val="none" w:sz="0" w:space="0" w:color="auto"/>
                          </w:divBdr>
                          <w:divsChild>
                            <w:div w:id="553396833">
                              <w:marLeft w:val="0"/>
                              <w:marRight w:val="0"/>
                              <w:marTop w:val="0"/>
                              <w:marBottom w:val="0"/>
                              <w:divBdr>
                                <w:top w:val="none" w:sz="0" w:space="0" w:color="auto"/>
                                <w:left w:val="none" w:sz="0" w:space="0" w:color="auto"/>
                                <w:bottom w:val="none" w:sz="0" w:space="0" w:color="auto"/>
                                <w:right w:val="none" w:sz="0" w:space="0" w:color="auto"/>
                              </w:divBdr>
                              <w:divsChild>
                                <w:div w:id="1719016471">
                                  <w:marLeft w:val="0"/>
                                  <w:marRight w:val="0"/>
                                  <w:marTop w:val="0"/>
                                  <w:marBottom w:val="0"/>
                                  <w:divBdr>
                                    <w:top w:val="none" w:sz="0" w:space="0" w:color="auto"/>
                                    <w:left w:val="none" w:sz="0" w:space="0" w:color="auto"/>
                                    <w:bottom w:val="none" w:sz="0" w:space="0" w:color="auto"/>
                                    <w:right w:val="none" w:sz="0" w:space="0" w:color="auto"/>
                                  </w:divBdr>
                                  <w:divsChild>
                                    <w:div w:id="1669599462">
                                      <w:marLeft w:val="0"/>
                                      <w:marRight w:val="0"/>
                                      <w:marTop w:val="0"/>
                                      <w:marBottom w:val="0"/>
                                      <w:divBdr>
                                        <w:top w:val="none" w:sz="0" w:space="0" w:color="auto"/>
                                        <w:left w:val="none" w:sz="0" w:space="0" w:color="auto"/>
                                        <w:bottom w:val="none" w:sz="0" w:space="0" w:color="auto"/>
                                        <w:right w:val="none" w:sz="0" w:space="0" w:color="auto"/>
                                      </w:divBdr>
                                      <w:divsChild>
                                        <w:div w:id="1756197044">
                                          <w:marLeft w:val="0"/>
                                          <w:marRight w:val="0"/>
                                          <w:marTop w:val="0"/>
                                          <w:marBottom w:val="0"/>
                                          <w:divBdr>
                                            <w:top w:val="none" w:sz="0" w:space="0" w:color="auto"/>
                                            <w:left w:val="none" w:sz="0" w:space="0" w:color="auto"/>
                                            <w:bottom w:val="none" w:sz="0" w:space="0" w:color="auto"/>
                                            <w:right w:val="none" w:sz="0" w:space="0" w:color="auto"/>
                                          </w:divBdr>
                                          <w:divsChild>
                                            <w:div w:id="1951281148">
                                              <w:marLeft w:val="0"/>
                                              <w:marRight w:val="0"/>
                                              <w:marTop w:val="0"/>
                                              <w:marBottom w:val="0"/>
                                              <w:divBdr>
                                                <w:top w:val="none" w:sz="0" w:space="0" w:color="auto"/>
                                                <w:left w:val="none" w:sz="0" w:space="0" w:color="auto"/>
                                                <w:bottom w:val="none" w:sz="0" w:space="0" w:color="auto"/>
                                                <w:right w:val="none" w:sz="0" w:space="0" w:color="auto"/>
                                              </w:divBdr>
                                              <w:divsChild>
                                                <w:div w:id="2002584582">
                                                  <w:marLeft w:val="0"/>
                                                  <w:marRight w:val="0"/>
                                                  <w:marTop w:val="0"/>
                                                  <w:marBottom w:val="0"/>
                                                  <w:divBdr>
                                                    <w:top w:val="none" w:sz="0" w:space="0" w:color="auto"/>
                                                    <w:left w:val="none" w:sz="0" w:space="0" w:color="auto"/>
                                                    <w:bottom w:val="none" w:sz="0" w:space="0" w:color="auto"/>
                                                    <w:right w:val="none" w:sz="0" w:space="0" w:color="auto"/>
                                                  </w:divBdr>
                                                  <w:divsChild>
                                                    <w:div w:id="1756314885">
                                                      <w:marLeft w:val="0"/>
                                                      <w:marRight w:val="0"/>
                                                      <w:marTop w:val="0"/>
                                                      <w:marBottom w:val="0"/>
                                                      <w:divBdr>
                                                        <w:top w:val="none" w:sz="0" w:space="0" w:color="auto"/>
                                                        <w:left w:val="none" w:sz="0" w:space="0" w:color="auto"/>
                                                        <w:bottom w:val="none" w:sz="0" w:space="0" w:color="auto"/>
                                                        <w:right w:val="none" w:sz="0" w:space="0" w:color="auto"/>
                                                      </w:divBdr>
                                                      <w:divsChild>
                                                        <w:div w:id="995646019">
                                                          <w:marLeft w:val="0"/>
                                                          <w:marRight w:val="0"/>
                                                          <w:marTop w:val="0"/>
                                                          <w:marBottom w:val="0"/>
                                                          <w:divBdr>
                                                            <w:top w:val="none" w:sz="0" w:space="0" w:color="auto"/>
                                                            <w:left w:val="none" w:sz="0" w:space="0" w:color="auto"/>
                                                            <w:bottom w:val="none" w:sz="0" w:space="0" w:color="auto"/>
                                                            <w:right w:val="none" w:sz="0" w:space="0" w:color="auto"/>
                                                          </w:divBdr>
                                                          <w:divsChild>
                                                            <w:div w:id="1373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4310008">
      <w:bodyDiv w:val="1"/>
      <w:marLeft w:val="0"/>
      <w:marRight w:val="0"/>
      <w:marTop w:val="0"/>
      <w:marBottom w:val="0"/>
      <w:divBdr>
        <w:top w:val="none" w:sz="0" w:space="0" w:color="auto"/>
        <w:left w:val="none" w:sz="0" w:space="0" w:color="auto"/>
        <w:bottom w:val="none" w:sz="0" w:space="0" w:color="auto"/>
        <w:right w:val="none" w:sz="0" w:space="0" w:color="auto"/>
      </w:divBdr>
    </w:div>
    <w:div w:id="1988853583">
      <w:bodyDiv w:val="1"/>
      <w:marLeft w:val="0"/>
      <w:marRight w:val="0"/>
      <w:marTop w:val="0"/>
      <w:marBottom w:val="0"/>
      <w:divBdr>
        <w:top w:val="none" w:sz="0" w:space="0" w:color="auto"/>
        <w:left w:val="none" w:sz="0" w:space="0" w:color="auto"/>
        <w:bottom w:val="none" w:sz="0" w:space="0" w:color="auto"/>
        <w:right w:val="none" w:sz="0" w:space="0" w:color="auto"/>
      </w:divBdr>
    </w:div>
    <w:div w:id="20623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cdecaux.com" TargetMode="External"/><Relationship Id="rId18" Type="http://schemas.openxmlformats.org/officeDocument/2006/relationships/hyperlink" Target="https://www.youtube.com/jcdecau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mi.grisard@jcdecaux.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stagram.com/jcdecauxglobal/?hl=f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ebook.com/JCDecaux/" TargetMode="External"/><Relationship Id="rId20" Type="http://schemas.openxmlformats.org/officeDocument/2006/relationships/hyperlink" Target="mailto:albert.asseraf@jcdecaux.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inkedin.com/company/jcdecau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mf-franc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JCDecaux_France" TargetMode="External"/><Relationship Id="rId22" Type="http://schemas.openxmlformats.org/officeDocument/2006/relationships/header" Target="head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6502517550447A0DCC0DD45D62DB3" ma:contentTypeVersion="19" ma:contentTypeDescription="Crée un document." ma:contentTypeScope="" ma:versionID="fa5d138def6d47f5086fe66baf23a404">
  <xsd:schema xmlns:xsd="http://www.w3.org/2001/XMLSchema" xmlns:xs="http://www.w3.org/2001/XMLSchema" xmlns:p="http://schemas.microsoft.com/office/2006/metadata/properties" xmlns:ns2="d7027ee5-42c2-4959-8322-6fb84abacb8a" xmlns:ns3="138e82e4-1c4e-4d4c-a7dd-672306ab193b" targetNamespace="http://schemas.microsoft.com/office/2006/metadata/properties" ma:root="true" ma:fieldsID="09649dffe0979ee7beb3efbc7f490605" ns2:_="" ns3:_="">
    <xsd:import namespace="d7027ee5-42c2-4959-8322-6fb84abacb8a"/>
    <xsd:import namespace="138e82e4-1c4e-4d4c-a7dd-672306ab1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7ee5-42c2-4959-8322-6fb84abac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911e483-6062-4f87-9f45-5c8b03109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e82e4-1c4e-4d4c-a7dd-672306ab193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fbdbd11-372e-463b-9889-48ffadfc164b}" ma:internalName="TaxCatchAll" ma:showField="CatchAllData" ma:web="138e82e4-1c4e-4d4c-a7dd-672306ab1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38e82e4-1c4e-4d4c-a7dd-672306ab193b" xsi:nil="true"/>
    <lcf76f155ced4ddcb4097134ff3c332f xmlns="d7027ee5-42c2-4959-8322-6fb84abacb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483C9-78AA-41DA-B8FF-8666E706F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7ee5-42c2-4959-8322-6fb84abacb8a"/>
    <ds:schemaRef ds:uri="138e82e4-1c4e-4d4c-a7dd-672306ab1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E3FDF-81C8-4103-ADF6-412EEA9780F9}">
  <ds:schemaRefs>
    <ds:schemaRef ds:uri="http://schemas.openxmlformats.org/officeDocument/2006/bibliography"/>
  </ds:schemaRefs>
</ds:datastoreItem>
</file>

<file path=customXml/itemProps3.xml><?xml version="1.0" encoding="utf-8"?>
<ds:datastoreItem xmlns:ds="http://schemas.openxmlformats.org/officeDocument/2006/customXml" ds:itemID="{498C340F-0250-48FB-8D08-06B8A77A3AFB}">
  <ds:schemaRefs>
    <ds:schemaRef ds:uri="http://schemas.microsoft.com/office/2006/metadata/properties"/>
    <ds:schemaRef ds:uri="http://schemas.microsoft.com/office/infopath/2007/PartnerControls"/>
    <ds:schemaRef ds:uri="138e82e4-1c4e-4d4c-a7dd-672306ab193b"/>
    <ds:schemaRef ds:uri="d7027ee5-42c2-4959-8322-6fb84abacb8a"/>
  </ds:schemaRefs>
</ds:datastoreItem>
</file>

<file path=customXml/itemProps4.xml><?xml version="1.0" encoding="utf-8"?>
<ds:datastoreItem xmlns:ds="http://schemas.openxmlformats.org/officeDocument/2006/customXml" ds:itemID="{421A5740-5AED-40C0-855E-B04D51F6D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10078</Characters>
  <Application>Microsoft Office Word</Application>
  <DocSecurity>0</DocSecurity>
  <Lines>83</Lines>
  <Paragraphs>23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11823</CharactersWithSpaces>
  <SharedDoc>false</SharedDoc>
  <HLinks>
    <vt:vector size="60" baseType="variant">
      <vt:variant>
        <vt:i4>7405588</vt:i4>
      </vt:variant>
      <vt:variant>
        <vt:i4>27</vt:i4>
      </vt:variant>
      <vt:variant>
        <vt:i4>0</vt:i4>
      </vt:variant>
      <vt:variant>
        <vt:i4>5</vt:i4>
      </vt:variant>
      <vt:variant>
        <vt:lpwstr>mailto:remi.grisard@jcdecaux.com</vt:lpwstr>
      </vt:variant>
      <vt:variant>
        <vt:lpwstr/>
      </vt:variant>
      <vt:variant>
        <vt:i4>1769576</vt:i4>
      </vt:variant>
      <vt:variant>
        <vt:i4>24</vt:i4>
      </vt:variant>
      <vt:variant>
        <vt:i4>0</vt:i4>
      </vt:variant>
      <vt:variant>
        <vt:i4>5</vt:i4>
      </vt:variant>
      <vt:variant>
        <vt:lpwstr>mailto:albert.asseraf@jcdecaux.com</vt:lpwstr>
      </vt:variant>
      <vt:variant>
        <vt:lpwstr/>
      </vt:variant>
      <vt:variant>
        <vt:i4>6094913</vt:i4>
      </vt:variant>
      <vt:variant>
        <vt:i4>21</vt:i4>
      </vt:variant>
      <vt:variant>
        <vt:i4>0</vt:i4>
      </vt:variant>
      <vt:variant>
        <vt:i4>5</vt:i4>
      </vt:variant>
      <vt:variant>
        <vt:lpwstr>http://www.jcdecaux.com/</vt:lpwstr>
      </vt:variant>
      <vt:variant>
        <vt:lpwstr/>
      </vt:variant>
      <vt:variant>
        <vt:i4>3866721</vt:i4>
      </vt:variant>
      <vt:variant>
        <vt:i4>18</vt:i4>
      </vt:variant>
      <vt:variant>
        <vt:i4>0</vt:i4>
      </vt:variant>
      <vt:variant>
        <vt:i4>5</vt:i4>
      </vt:variant>
      <vt:variant>
        <vt:lpwstr>http://www.amf-france.org/</vt:lpwstr>
      </vt:variant>
      <vt:variant>
        <vt:lpwstr/>
      </vt:variant>
      <vt:variant>
        <vt:i4>4194378</vt:i4>
      </vt:variant>
      <vt:variant>
        <vt:i4>15</vt:i4>
      </vt:variant>
      <vt:variant>
        <vt:i4>0</vt:i4>
      </vt:variant>
      <vt:variant>
        <vt:i4>5</vt:i4>
      </vt:variant>
      <vt:variant>
        <vt:lpwstr>https://www.youtube.com/jcdecaux</vt:lpwstr>
      </vt:variant>
      <vt:variant>
        <vt:lpwstr/>
      </vt:variant>
      <vt:variant>
        <vt:i4>7471137</vt:i4>
      </vt:variant>
      <vt:variant>
        <vt:i4>12</vt:i4>
      </vt:variant>
      <vt:variant>
        <vt:i4>0</vt:i4>
      </vt:variant>
      <vt:variant>
        <vt:i4>5</vt:i4>
      </vt:variant>
      <vt:variant>
        <vt:lpwstr>https://www.instagram.com/jcdecauxglobal/?hl=fr</vt:lpwstr>
      </vt:variant>
      <vt:variant>
        <vt:lpwstr/>
      </vt:variant>
      <vt:variant>
        <vt:i4>7405625</vt:i4>
      </vt:variant>
      <vt:variant>
        <vt:i4>9</vt:i4>
      </vt:variant>
      <vt:variant>
        <vt:i4>0</vt:i4>
      </vt:variant>
      <vt:variant>
        <vt:i4>5</vt:i4>
      </vt:variant>
      <vt:variant>
        <vt:lpwstr>https://www.facebook.com/JCDecaux/</vt:lpwstr>
      </vt:variant>
      <vt:variant>
        <vt:lpwstr/>
      </vt:variant>
      <vt:variant>
        <vt:i4>7274593</vt:i4>
      </vt:variant>
      <vt:variant>
        <vt:i4>6</vt:i4>
      </vt:variant>
      <vt:variant>
        <vt:i4>0</vt:i4>
      </vt:variant>
      <vt:variant>
        <vt:i4>5</vt:i4>
      </vt:variant>
      <vt:variant>
        <vt:lpwstr>https://www.linkedin.com/company/jcdecaux/</vt:lpwstr>
      </vt:variant>
      <vt:variant>
        <vt:lpwstr/>
      </vt:variant>
      <vt:variant>
        <vt:i4>6422542</vt:i4>
      </vt:variant>
      <vt:variant>
        <vt:i4>3</vt:i4>
      </vt:variant>
      <vt:variant>
        <vt:i4>0</vt:i4>
      </vt:variant>
      <vt:variant>
        <vt:i4>5</vt:i4>
      </vt:variant>
      <vt:variant>
        <vt:lpwstr>https://twitter.com/JCDecaux_France</vt:lpwstr>
      </vt:variant>
      <vt:variant>
        <vt:lpwstr/>
      </vt:variant>
      <vt:variant>
        <vt:i4>6094913</vt:i4>
      </vt:variant>
      <vt:variant>
        <vt:i4>0</vt:i4>
      </vt:variant>
      <vt:variant>
        <vt:i4>0</vt:i4>
      </vt:variant>
      <vt:variant>
        <vt:i4>5</vt:i4>
      </vt:variant>
      <vt:variant>
        <vt:lpwstr>http://www.jcdecaux.com/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RIALLAND Mathilde</dc:creator>
  <cp:keywords>, docId:C0A9EF088406EC6DEC09F53334762A56</cp:keywords>
  <dc:description/>
  <cp:lastModifiedBy>Colombo Colombo</cp:lastModifiedBy>
  <cp:revision>2</cp:revision>
  <cp:lastPrinted>2025-05-06T02:21:00Z</cp:lastPrinted>
  <dcterms:created xsi:type="dcterms:W3CDTF">2025-05-07T05:06:00Z</dcterms:created>
  <dcterms:modified xsi:type="dcterms:W3CDTF">2025-05-07T05:06:00Z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0x0101009AE6502517550447A0DCC0DD45D62DB3</vt:lpwstr>
  </property>
  <property fmtid="{D5CDD505-2E9C-101B-9397-08002B2CF9AE}" pid="3" name="MediaServiceImageTags">
    <vt:lpwstr/>
  </property>
</Properties>
</file>